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Accountancy (7 MK, 2 oefeningen)</w:t>
      </w:r>
    </w:p>
    <w:p w:rsidR="00000000" w:rsidDel="00000000" w:rsidP="00000000" w:rsidRDefault="00000000" w:rsidRPr="00000000" w14:paraId="00000002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Meerkeuzevragen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: (in totaal 7 meerkeuzevragen)</w:t>
      </w:r>
    </w:p>
    <w:p w:rsidR="00000000" w:rsidDel="00000000" w:rsidP="00000000" w:rsidRDefault="00000000" w:rsidRPr="00000000" w14:paraId="00000004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De boekhoudprincipes (realisatieprincipe, overeenstemmingsprincipe etc.). Je kreeg 3 voorbeelden met een boekhoudprincipe erbij. Jij moest dan aanduiden welke combinatie principe-voorbeeld van de 3 de juiste was.</w:t>
      </w:r>
    </w:p>
    <w:p w:rsidR="00000000" w:rsidDel="00000000" w:rsidP="00000000" w:rsidRDefault="00000000" w:rsidRPr="00000000" w14:paraId="00000005">
      <w:pPr>
        <w:numPr>
          <w:ilvl w:val="0"/>
          <w:numId w:val="3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Proefbalans gegeven. De huur wordt betaald voor het afgelopen jaar (tussen …/…/… en …/…/…). Jij moest dan via de overlopende rekeningen in de balans bepalen hoeveel de totale huur is.</w:t>
      </w:r>
    </w:p>
    <w:p w:rsidR="00000000" w:rsidDel="00000000" w:rsidP="00000000" w:rsidRDefault="00000000" w:rsidRPr="00000000" w14:paraId="00000006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u w:val="single"/>
          <w:shd w:fill="auto" w:val="clear"/>
          <w:rtl w:val="0"/>
        </w:rPr>
        <w:t xml:space="preserve">2 oefeningen</w:t>
      </w: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:</w:t>
      </w:r>
    </w:p>
    <w:p w:rsidR="00000000" w:rsidDel="00000000" w:rsidP="00000000" w:rsidRDefault="00000000" w:rsidRPr="00000000" w14:paraId="00000007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1:</w:t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permanente inventaris (afleiden uit proefbalans)</w:t>
      </w:r>
    </w:p>
    <w:p w:rsidR="00000000" w:rsidDel="00000000" w:rsidP="00000000" w:rsidRDefault="00000000" w:rsidRPr="00000000" w14:paraId="00000009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Factuur boeken voor aankoop van 2 grondstoffen. Factuur vermeldt een CK, vervoerskost en FK voor betaling binnen 10 dagen. Vervoerskost wordt verdeeld over de 2 grondstoffen naargelang hun waarde. Vervoerskost heeft 21% BTW, de grondstoffen hebben 6% BTW. Vordering aan leverancier (dus betaling niet-tijdig) was gegeven (€333,55)</w:t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Retour van een deel van de grondstoffen</w:t>
      </w:r>
    </w:p>
    <w:p w:rsidR="00000000" w:rsidDel="00000000" w:rsidP="00000000" w:rsidRDefault="00000000" w:rsidRPr="00000000" w14:paraId="0000000B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Betaling van de grondstoffen binnen een termijn van 10 dagen (dus met FK).</w:t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In opgave staat leasing, maar in proefbalans staan rek. 070 en 071 = dus boekhoudkundige huur</w:t>
      </w:r>
    </w:p>
    <w:p w:rsidR="00000000" w:rsidDel="00000000" w:rsidP="00000000" w:rsidRDefault="00000000" w:rsidRPr="00000000" w14:paraId="0000000D">
      <w:pPr>
        <w:numPr>
          <w:ilvl w:val="0"/>
          <w:numId w:val="1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Geen EJV</w:t>
      </w:r>
    </w:p>
    <w:p w:rsidR="00000000" w:rsidDel="00000000" w:rsidP="00000000" w:rsidRDefault="00000000" w:rsidRPr="00000000" w14:paraId="0000000E">
      <w:pPr>
        <w:spacing w:line="276" w:lineRule="auto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Oefening 2: koekjesfabriek</w:t>
      </w:r>
    </w:p>
    <w:p w:rsidR="00000000" w:rsidDel="00000000" w:rsidP="00000000" w:rsidRDefault="00000000" w:rsidRPr="00000000" w14:paraId="0000000F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niet-permanente inventaris (staat bij ‘bijkomende gegevens’)</w:t>
      </w:r>
    </w:p>
    <w:p w:rsidR="00000000" w:rsidDel="00000000" w:rsidP="00000000" w:rsidRDefault="00000000" w:rsidRPr="00000000" w14:paraId="00000010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Voorraadtabellen!!</w:t>
      </w:r>
    </w:p>
    <w:p w:rsidR="00000000" w:rsidDel="00000000" w:rsidP="00000000" w:rsidRDefault="00000000" w:rsidRPr="00000000" w14:paraId="00000011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Voorraadwijziging GIB en GP</w:t>
      </w:r>
    </w:p>
    <w:p w:rsidR="00000000" w:rsidDel="00000000" w:rsidP="00000000" w:rsidRDefault="00000000" w:rsidRPr="00000000" w14:paraId="00000012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Afschrijving machine met belastbare, afschrijfbare kapitaalsubsidie</w:t>
      </w:r>
    </w:p>
    <w:p w:rsidR="00000000" w:rsidDel="00000000" w:rsidP="00000000" w:rsidRDefault="00000000" w:rsidRPr="00000000" w14:paraId="00000013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Boeking waar de productie fase 2 ingaat.</w:t>
      </w:r>
    </w:p>
    <w:p w:rsidR="00000000" w:rsidDel="00000000" w:rsidP="00000000" w:rsidRDefault="00000000" w:rsidRPr="00000000" w14:paraId="00000014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VK, maar factuur wordt pas volgend jaar verstuurd: te innen opbrengsten</w:t>
      </w:r>
    </w:p>
    <w:p w:rsidR="00000000" w:rsidDel="00000000" w:rsidP="00000000" w:rsidRDefault="00000000" w:rsidRPr="00000000" w14:paraId="00000015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Voorzieningen aanleggen</w:t>
      </w:r>
    </w:p>
    <w:p w:rsidR="00000000" w:rsidDel="00000000" w:rsidP="00000000" w:rsidRDefault="00000000" w:rsidRPr="00000000" w14:paraId="00000016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Raming belastingen</w:t>
      </w:r>
    </w:p>
    <w:p w:rsidR="00000000" w:rsidDel="00000000" w:rsidP="00000000" w:rsidRDefault="00000000" w:rsidRPr="00000000" w14:paraId="00000017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Boekhoudkundige leasing (rek. 070 staat niet in proefbalans)</w:t>
      </w:r>
    </w:p>
    <w:p w:rsidR="00000000" w:rsidDel="00000000" w:rsidP="00000000" w:rsidRDefault="00000000" w:rsidRPr="00000000" w14:paraId="00000018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Alle EJV die van toepassing zijn (waren ze bijna allemaal).</w:t>
      </w:r>
    </w:p>
    <w:p w:rsidR="00000000" w:rsidDel="00000000" w:rsidP="00000000" w:rsidRDefault="00000000" w:rsidRPr="00000000" w14:paraId="00000019">
      <w:pPr>
        <w:numPr>
          <w:ilvl w:val="0"/>
          <w:numId w:val="2"/>
        </w:numPr>
        <w:spacing w:line="276" w:lineRule="auto"/>
        <w:ind w:left="720" w:hanging="360"/>
        <w:rPr>
          <w:rFonts w:ascii="Arial" w:cs="Arial" w:eastAsia="Arial" w:hAnsi="Arial"/>
          <w:sz w:val="22"/>
          <w:szCs w:val="22"/>
          <w:shd w:fill="auto" w:val="clear"/>
        </w:rPr>
      </w:pPr>
      <w:r w:rsidDel="00000000" w:rsidR="00000000" w:rsidRPr="00000000">
        <w:rPr>
          <w:rFonts w:ascii="Arial" w:cs="Arial" w:eastAsia="Arial" w:hAnsi="Arial"/>
          <w:sz w:val="22"/>
          <w:szCs w:val="22"/>
          <w:shd w:fill="auto" w:val="clear"/>
          <w:rtl w:val="0"/>
        </w:rPr>
        <w:t xml:space="preserve">Resultaatbepaling- en bestemming met overgedragen winst (was een te bestemmen winstsaldo). Totaal 6… rek.en 7… rek. waren gegeven.</w:t>
      </w:r>
    </w:p>
    <w:p w:rsidR="00000000" w:rsidDel="00000000" w:rsidP="00000000" w:rsidRDefault="00000000" w:rsidRPr="00000000" w14:paraId="0000001A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spacing w:line="276" w:lineRule="auto"/>
        <w:rPr>
          <w:rFonts w:ascii="Arial" w:cs="Arial" w:eastAsia="Arial" w:hAnsi="Arial"/>
          <w:b w:val="1"/>
          <w:sz w:val="24"/>
          <w:szCs w:val="24"/>
          <w:shd w:fill="auto" w:val="clear"/>
        </w:rPr>
      </w:pPr>
      <w:r w:rsidDel="00000000" w:rsidR="00000000" w:rsidRPr="00000000">
        <w:rPr>
          <w:rFonts w:ascii="Arial" w:cs="Arial" w:eastAsia="Arial" w:hAnsi="Arial"/>
          <w:b w:val="1"/>
          <w:sz w:val="24"/>
          <w:szCs w:val="24"/>
          <w:shd w:fill="auto" w:val="clear"/>
          <w:rtl w:val="0"/>
        </w:rPr>
        <w:t xml:space="preserve"> </w:t>
      </w:r>
    </w:p>
    <w:p w:rsidR="00000000" w:rsidDel="00000000" w:rsidP="00000000" w:rsidRDefault="00000000" w:rsidRPr="00000000" w14:paraId="0000001C">
      <w:pPr>
        <w:pageBreakBefore w:val="0"/>
        <w:rPr/>
      </w:pPr>
      <w:r w:rsidDel="00000000" w:rsidR="00000000" w:rsidRPr="00000000">
        <w:rPr>
          <w:rtl w:val="0"/>
        </w:rPr>
      </w:r>
    </w:p>
    <w:sectPr>
      <w:headerReference r:id="rId6" w:type="default"/>
      <w:footerReference r:id="rId7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Barlow Medium">
    <w:embedRegular w:fontKey="{00000000-0000-0000-0000-000000000000}" r:id="rId1" w:subsetted="0"/>
    <w:embedBold w:fontKey="{00000000-0000-0000-0000-000000000000}" r:id="rId2" w:subsetted="0"/>
    <w:embedItalic w:fontKey="{00000000-0000-0000-0000-000000000000}" r:id="rId3" w:subsetted="0"/>
    <w:embedBoldItalic w:fontKey="{00000000-0000-0000-0000-000000000000}" r:id="rId4" w:subsetted="0"/>
  </w:font>
  <w:font w:name="Barlow">
    <w:embedRegular w:fontKey="{00000000-0000-0000-0000-000000000000}" r:id="rId5" w:subsetted="0"/>
    <w:embedBold w:fontKey="{00000000-0000-0000-0000-000000000000}" r:id="rId6" w:subsetted="0"/>
    <w:embedItalic w:fontKey="{00000000-0000-0000-0000-000000000000}" r:id="rId7" w:subsetted="0"/>
    <w:embedBoldItalic w:fontKey="{00000000-0000-0000-0000-000000000000}" r:id="rId8" w:subsetted="0"/>
  </w:font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E">
    <w:pPr>
      <w:pageBreakBefore w:val="0"/>
      <w:ind w:firstLine="720"/>
      <w:jc w:val="right"/>
      <w:rPr/>
    </w:pPr>
    <w:r w:rsidDel="00000000" w:rsidR="00000000" w:rsidRPr="00000000">
      <w:rPr/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1D">
    <w:pPr>
      <w:pageBreakBefore w:val="0"/>
      <w:rPr/>
    </w:pPr>
    <w:r w:rsidDel="00000000" w:rsidR="00000000" w:rsidRPr="00000000">
      <w:rPr>
        <w:rtl w:val="0"/>
      </w:rPr>
    </w:r>
    <w:r w:rsidDel="00000000" w:rsidR="00000000" w:rsidRPr="00000000">
      <w:drawing>
        <wp:anchor allowOverlap="1" behindDoc="0" distB="0" distT="0" distL="0" distR="0" hidden="0" layoutInCell="1" locked="0" relativeHeight="0" simplePos="0">
          <wp:simplePos x="0" y="0"/>
          <wp:positionH relativeFrom="column">
            <wp:posOffset>-919162</wp:posOffset>
          </wp:positionH>
          <wp:positionV relativeFrom="paragraph">
            <wp:posOffset>-457199</wp:posOffset>
          </wp:positionV>
          <wp:extent cx="7570004" cy="1263600"/>
          <wp:effectExtent b="0" l="0" r="0" t="0"/>
          <wp:wrapSquare wrapText="bothSides" distB="0" distT="0" distL="0" distR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-9907" l="0" r="0" t="0"/>
                  <a:stretch>
                    <a:fillRect/>
                  </a:stretch>
                </pic:blipFill>
                <pic:spPr>
                  <a:xfrm>
                    <a:off x="0" y="0"/>
                    <a:ext cx="7570004" cy="1263600"/>
                  </a:xfrm>
                  <a:prstGeom prst="rect"/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Barlow" w:cs="Barlow" w:eastAsia="Barlow" w:hAnsi="Barlow"/>
        <w:sz w:val="21"/>
        <w:szCs w:val="21"/>
        <w:highlight w:val="white"/>
        <w:lang w:val="n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color w:val="0f3467"/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color w:val="0f3467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color w:val="0f3467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lineRule="auto"/>
    </w:pPr>
    <w:rPr>
      <w:rFonts w:ascii="Barlow Medium" w:cs="Barlow Medium" w:eastAsia="Barlow Medium" w:hAnsi="Barlow Medium"/>
      <w:color w:val="0f3467"/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lineRule="auto"/>
    </w:pPr>
    <w:rPr>
      <w:color w:val="64b5f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Relationship Id="rId7" Type="http://schemas.openxmlformats.org/officeDocument/2006/relationships/footer" Target="footer1.xml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BarlowMedium-regular.ttf"/><Relationship Id="rId2" Type="http://schemas.openxmlformats.org/officeDocument/2006/relationships/font" Target="fonts/BarlowMedium-bold.ttf"/><Relationship Id="rId3" Type="http://schemas.openxmlformats.org/officeDocument/2006/relationships/font" Target="fonts/BarlowMedium-italic.ttf"/><Relationship Id="rId4" Type="http://schemas.openxmlformats.org/officeDocument/2006/relationships/font" Target="fonts/BarlowMedium-boldItalic.ttf"/><Relationship Id="rId5" Type="http://schemas.openxmlformats.org/officeDocument/2006/relationships/font" Target="fonts/Barlow-regular.ttf"/><Relationship Id="rId6" Type="http://schemas.openxmlformats.org/officeDocument/2006/relationships/font" Target="fonts/Barlow-bold.ttf"/><Relationship Id="rId7" Type="http://schemas.openxmlformats.org/officeDocument/2006/relationships/font" Target="fonts/Barlow-italic.ttf"/><Relationship Id="rId8" Type="http://schemas.openxmlformats.org/officeDocument/2006/relationships/font" Target="fonts/Barlow-boldItalic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