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Barlow" w:cs="Barlow" w:eastAsia="Barlow" w:hAnsi="Barlow"/>
          <w:b w:val="1"/>
          <w:color w:val="0f3467"/>
          <w:sz w:val="30"/>
          <w:szCs w:val="30"/>
          <w:highlight w:val="white"/>
        </w:rPr>
      </w:pPr>
      <w:r w:rsidDel="00000000" w:rsidR="00000000" w:rsidRPr="00000000">
        <w:rPr>
          <w:rFonts w:ascii="Barlow" w:cs="Barlow" w:eastAsia="Barlow" w:hAnsi="Barlow"/>
          <w:b w:val="1"/>
          <w:color w:val="0f3467"/>
          <w:sz w:val="30"/>
          <w:szCs w:val="30"/>
          <w:highlight w:val="white"/>
          <w:rtl w:val="0"/>
        </w:rPr>
        <w:t xml:space="preserve">Sociaal recht:</w:t>
      </w:r>
    </w:p>
    <w:p w:rsidR="00000000" w:rsidDel="00000000" w:rsidP="00000000" w:rsidRDefault="00000000" w:rsidRPr="00000000" w14:paraId="00000002">
      <w:pPr>
        <w:rPr>
          <w:rFonts w:ascii="Barlow" w:cs="Barlow" w:eastAsia="Barlow" w:hAnsi="Barlow"/>
          <w:sz w:val="21"/>
          <w:szCs w:val="21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rtl w:val="0"/>
        </w:rPr>
        <w:t xml:space="preserve">Vraag 1  (individueel arbeidsrecht): WN Jef komt vaak in contact met klanten. Collega’s fotograferen hem terwijl hij zijn mouwen had opgestroopt, blijkt hij neonazi-tattoos te hebben. Bedrijf denkt hem hiervoor, op basis van die beelden die ze toevallig onder ogen kregen,  te ontslaan. Jef vindt dat hij gediscrimineerd wordt. 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rtl w:val="0"/>
        </w:rPr>
        <w:t xml:space="preserve">Licht de stelling van Jef toe.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rtl w:val="0"/>
        </w:rPr>
        <w:t xml:space="preserve">Kan ontslag om dringende reden of zijn er alternatieve procedures die gevolgd kunnen worden?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rtl w:val="0"/>
        </w:rPr>
        <w:t xml:space="preserve">Op welke andere basis kan de beslissing van de directie gesteund worden? </w:t>
      </w:r>
    </w:p>
    <w:p w:rsidR="00000000" w:rsidDel="00000000" w:rsidP="00000000" w:rsidRDefault="00000000" w:rsidRPr="00000000" w14:paraId="00000006">
      <w:pPr>
        <w:rPr>
          <w:rFonts w:ascii="Barlow" w:cs="Barlow" w:eastAsia="Barlow" w:hAnsi="Barlow"/>
          <w:sz w:val="21"/>
          <w:szCs w:val="21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rtl w:val="0"/>
        </w:rPr>
        <w:t xml:space="preserve">Vraag 2 (individueel arbeidsrecht): Leg uit wat de juridische betekenis is van de schorsing van de AO, en geef alle schorsingsgronden die de WG kan inroepen.</w:t>
      </w:r>
    </w:p>
    <w:p w:rsidR="00000000" w:rsidDel="00000000" w:rsidP="00000000" w:rsidRDefault="00000000" w:rsidRPr="00000000" w14:paraId="00000007">
      <w:pPr>
        <w:rPr>
          <w:rFonts w:ascii="Barlow" w:cs="Barlow" w:eastAsia="Barlow" w:hAnsi="Barlow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Barlow" w:cs="Barlow" w:eastAsia="Barlow" w:hAnsi="Barlow"/>
          <w:sz w:val="21"/>
          <w:szCs w:val="21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rtl w:val="0"/>
        </w:rPr>
        <w:t xml:space="preserve">Vraag 3 (collectief arbeidsrecht): OR-leden mogen door hun statuut geen nadelen ondergaan, maar ook geen voordelen genieten. Leg uit hoe de leden van de ondernemingsraad beschermd zijn door hun statuut van personeelsafgevaardigde.</w:t>
      </w:r>
    </w:p>
    <w:p w:rsidR="00000000" w:rsidDel="00000000" w:rsidP="00000000" w:rsidRDefault="00000000" w:rsidRPr="00000000" w14:paraId="00000009">
      <w:pPr>
        <w:rPr>
          <w:rFonts w:ascii="Barlow" w:cs="Barlow" w:eastAsia="Barlow" w:hAnsi="Barlow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Barlow" w:cs="Barlow" w:eastAsia="Barlow" w:hAnsi="Barlow"/>
          <w:sz w:val="21"/>
          <w:szCs w:val="21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rtl w:val="0"/>
        </w:rPr>
        <w:t xml:space="preserve">Vraag 4 (sociale zekerheidsrecht): 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1"/>
          <w:szCs w:val="21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rtl w:val="0"/>
        </w:rPr>
        <w:t xml:space="preserve">De ziekteverzekering onder de gezondheidszorg in België  is typisch Bismarckiaans opgesteld, maar wordt via allerlei constructies toch geuniversaliseerd. Leg schematisch uit hoe.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1"/>
          <w:szCs w:val="21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rtl w:val="0"/>
        </w:rPr>
        <w:t xml:space="preserve">Leg uit hoe de pensioenregeling van het ZN-stelsel verschilt van dat van het WN-stelsel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Barl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-regular.ttf"/><Relationship Id="rId2" Type="http://schemas.openxmlformats.org/officeDocument/2006/relationships/font" Target="fonts/Barlow-bold.ttf"/><Relationship Id="rId3" Type="http://schemas.openxmlformats.org/officeDocument/2006/relationships/font" Target="fonts/Barlow-italic.ttf"/><Relationship Id="rId4" Type="http://schemas.openxmlformats.org/officeDocument/2006/relationships/font" Target="fonts/Barlow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