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4A92" w:rsidRDefault="00704A92" w:rsidP="00C81641">
      <w:pPr>
        <w:pStyle w:val="Title"/>
      </w:pPr>
      <w:r>
        <w:t>Internationale organisatie</w:t>
      </w:r>
      <w:r w:rsidRPr="0098269C">
        <w:t>deel I</w:t>
      </w:r>
      <w:r>
        <w:t>I</w:t>
      </w:r>
      <w:r w:rsidRPr="0098269C">
        <w:t xml:space="preserve">: </w:t>
      </w:r>
    </w:p>
    <w:p w:rsidR="00704A92" w:rsidRDefault="00704A92">
      <w:pPr>
        <w:pStyle w:val="TOC1"/>
        <w:tabs>
          <w:tab w:val="right" w:leader="dot" w:pos="9062"/>
        </w:tabs>
        <w:rPr>
          <w:noProof/>
        </w:rPr>
      </w:pPr>
      <w:r>
        <w:fldChar w:fldCharType="begin"/>
      </w:r>
      <w:r>
        <w:instrText xml:space="preserve"> TOC \o "1-3" \h \z \u </w:instrText>
      </w:r>
      <w:r>
        <w:fldChar w:fldCharType="separate"/>
      </w:r>
      <w:hyperlink w:anchor="_Toc296090830" w:history="1">
        <w:r w:rsidRPr="00831AF6">
          <w:rPr>
            <w:rStyle w:val="Hyperlink"/>
            <w:noProof/>
          </w:rPr>
          <w:t>Hoofdstuk 13: supplement Libië</w:t>
        </w:r>
        <w:r>
          <w:rPr>
            <w:noProof/>
            <w:webHidden/>
          </w:rPr>
          <w:tab/>
        </w:r>
        <w:r>
          <w:rPr>
            <w:noProof/>
            <w:webHidden/>
          </w:rPr>
          <w:fldChar w:fldCharType="begin"/>
        </w:r>
        <w:r>
          <w:rPr>
            <w:noProof/>
            <w:webHidden/>
          </w:rPr>
          <w:instrText xml:space="preserve"> PAGEREF _Toc296090830 \h </w:instrText>
        </w:r>
        <w:r>
          <w:rPr>
            <w:noProof/>
          </w:rPr>
        </w:r>
        <w:r>
          <w:rPr>
            <w:noProof/>
            <w:webHidden/>
          </w:rPr>
          <w:fldChar w:fldCharType="separate"/>
        </w:r>
        <w:r>
          <w:rPr>
            <w:noProof/>
            <w:webHidden/>
          </w:rPr>
          <w:t>2</w:t>
        </w:r>
        <w:r>
          <w:rPr>
            <w:noProof/>
            <w:webHidden/>
          </w:rPr>
          <w:fldChar w:fldCharType="end"/>
        </w:r>
      </w:hyperlink>
    </w:p>
    <w:p w:rsidR="00704A92" w:rsidRDefault="00704A92">
      <w:pPr>
        <w:pStyle w:val="TOC3"/>
        <w:tabs>
          <w:tab w:val="right" w:leader="dot" w:pos="9062"/>
        </w:tabs>
        <w:rPr>
          <w:noProof/>
        </w:rPr>
      </w:pPr>
      <w:hyperlink w:anchor="_Toc296090831" w:history="1">
        <w:r w:rsidRPr="00831AF6">
          <w:rPr>
            <w:rStyle w:val="Hyperlink"/>
            <w:noProof/>
          </w:rPr>
          <w:t>Promoten van veiligheid en menselijkheid</w:t>
        </w:r>
        <w:r>
          <w:rPr>
            <w:noProof/>
            <w:webHidden/>
          </w:rPr>
          <w:tab/>
        </w:r>
        <w:r>
          <w:rPr>
            <w:noProof/>
            <w:webHidden/>
          </w:rPr>
          <w:fldChar w:fldCharType="begin"/>
        </w:r>
        <w:r>
          <w:rPr>
            <w:noProof/>
            <w:webHidden/>
          </w:rPr>
          <w:instrText xml:space="preserve"> PAGEREF _Toc296090831 \h </w:instrText>
        </w:r>
        <w:r>
          <w:rPr>
            <w:noProof/>
          </w:rPr>
        </w:r>
        <w:r>
          <w:rPr>
            <w:noProof/>
            <w:webHidden/>
          </w:rPr>
          <w:fldChar w:fldCharType="separate"/>
        </w:r>
        <w:r>
          <w:rPr>
            <w:noProof/>
            <w:webHidden/>
          </w:rPr>
          <w:t>2</w:t>
        </w:r>
        <w:r>
          <w:rPr>
            <w:noProof/>
            <w:webHidden/>
          </w:rPr>
          <w:fldChar w:fldCharType="end"/>
        </w:r>
      </w:hyperlink>
    </w:p>
    <w:p w:rsidR="00704A92" w:rsidRDefault="00704A92">
      <w:pPr>
        <w:pStyle w:val="TOC3"/>
        <w:tabs>
          <w:tab w:val="right" w:leader="dot" w:pos="9062"/>
        </w:tabs>
        <w:rPr>
          <w:noProof/>
        </w:rPr>
      </w:pPr>
      <w:hyperlink w:anchor="_Toc296090832" w:history="1">
        <w:r w:rsidRPr="00831AF6">
          <w:rPr>
            <w:rStyle w:val="Hyperlink"/>
            <w:noProof/>
          </w:rPr>
          <w:t>Strafuitvoering en sancties</w:t>
        </w:r>
        <w:r>
          <w:rPr>
            <w:noProof/>
            <w:webHidden/>
          </w:rPr>
          <w:tab/>
        </w:r>
        <w:r>
          <w:rPr>
            <w:noProof/>
            <w:webHidden/>
          </w:rPr>
          <w:fldChar w:fldCharType="begin"/>
        </w:r>
        <w:r>
          <w:rPr>
            <w:noProof/>
            <w:webHidden/>
          </w:rPr>
          <w:instrText xml:space="preserve"> PAGEREF _Toc296090832 \h </w:instrText>
        </w:r>
        <w:r>
          <w:rPr>
            <w:noProof/>
          </w:rPr>
        </w:r>
        <w:r>
          <w:rPr>
            <w:noProof/>
            <w:webHidden/>
          </w:rPr>
          <w:fldChar w:fldCharType="separate"/>
        </w:r>
        <w:r>
          <w:rPr>
            <w:noProof/>
            <w:webHidden/>
          </w:rPr>
          <w:t>3</w:t>
        </w:r>
        <w:r>
          <w:rPr>
            <w:noProof/>
            <w:webHidden/>
          </w:rPr>
          <w:fldChar w:fldCharType="end"/>
        </w:r>
      </w:hyperlink>
    </w:p>
    <w:p w:rsidR="00704A92" w:rsidRDefault="00704A92">
      <w:pPr>
        <w:pStyle w:val="TOC3"/>
        <w:tabs>
          <w:tab w:val="right" w:leader="dot" w:pos="9062"/>
        </w:tabs>
        <w:rPr>
          <w:noProof/>
        </w:rPr>
      </w:pPr>
      <w:hyperlink w:anchor="_Toc296090833" w:history="1">
        <w:r w:rsidRPr="00831AF6">
          <w:rPr>
            <w:rStyle w:val="Hyperlink"/>
            <w:noProof/>
          </w:rPr>
          <w:t>Humanitaire interventie: Het dilemma van de R2P</w:t>
        </w:r>
        <w:r>
          <w:rPr>
            <w:noProof/>
            <w:webHidden/>
          </w:rPr>
          <w:tab/>
        </w:r>
        <w:r>
          <w:rPr>
            <w:noProof/>
            <w:webHidden/>
          </w:rPr>
          <w:fldChar w:fldCharType="begin"/>
        </w:r>
        <w:r>
          <w:rPr>
            <w:noProof/>
            <w:webHidden/>
          </w:rPr>
          <w:instrText xml:space="preserve"> PAGEREF _Toc296090833 \h </w:instrText>
        </w:r>
        <w:r>
          <w:rPr>
            <w:noProof/>
          </w:rPr>
        </w:r>
        <w:r>
          <w:rPr>
            <w:noProof/>
            <w:webHidden/>
          </w:rPr>
          <w:fldChar w:fldCharType="separate"/>
        </w:r>
        <w:r>
          <w:rPr>
            <w:noProof/>
            <w:webHidden/>
          </w:rPr>
          <w:t>5</w:t>
        </w:r>
        <w:r>
          <w:rPr>
            <w:noProof/>
            <w:webHidden/>
          </w:rPr>
          <w:fldChar w:fldCharType="end"/>
        </w:r>
      </w:hyperlink>
    </w:p>
    <w:p w:rsidR="00704A92" w:rsidRDefault="00704A92">
      <w:pPr>
        <w:pStyle w:val="TOC3"/>
        <w:tabs>
          <w:tab w:val="right" w:leader="dot" w:pos="9062"/>
        </w:tabs>
        <w:rPr>
          <w:noProof/>
        </w:rPr>
      </w:pPr>
      <w:hyperlink w:anchor="_Toc296090834" w:history="1">
        <w:r w:rsidRPr="00831AF6">
          <w:rPr>
            <w:rStyle w:val="Hyperlink"/>
            <w:noProof/>
          </w:rPr>
          <w:t>Resolutie van de VR</w:t>
        </w:r>
        <w:r>
          <w:rPr>
            <w:noProof/>
            <w:webHidden/>
          </w:rPr>
          <w:tab/>
        </w:r>
        <w:r>
          <w:rPr>
            <w:noProof/>
            <w:webHidden/>
          </w:rPr>
          <w:fldChar w:fldCharType="begin"/>
        </w:r>
        <w:r>
          <w:rPr>
            <w:noProof/>
            <w:webHidden/>
          </w:rPr>
          <w:instrText xml:space="preserve"> PAGEREF _Toc296090834 \h </w:instrText>
        </w:r>
        <w:r>
          <w:rPr>
            <w:noProof/>
          </w:rPr>
        </w:r>
        <w:r>
          <w:rPr>
            <w:noProof/>
            <w:webHidden/>
          </w:rPr>
          <w:fldChar w:fldCharType="separate"/>
        </w:r>
        <w:r>
          <w:rPr>
            <w:noProof/>
            <w:webHidden/>
          </w:rPr>
          <w:t>6</w:t>
        </w:r>
        <w:r>
          <w:rPr>
            <w:noProof/>
            <w:webHidden/>
          </w:rPr>
          <w:fldChar w:fldCharType="end"/>
        </w:r>
      </w:hyperlink>
    </w:p>
    <w:p w:rsidR="00704A92" w:rsidRDefault="00704A92">
      <w:pPr>
        <w:pStyle w:val="TOC2"/>
        <w:tabs>
          <w:tab w:val="right" w:leader="dot" w:pos="9062"/>
        </w:tabs>
        <w:rPr>
          <w:noProof/>
        </w:rPr>
      </w:pPr>
      <w:hyperlink w:anchor="_Toc296090835" w:history="1">
        <w:r w:rsidRPr="00831AF6">
          <w:rPr>
            <w:rStyle w:val="Hyperlink"/>
            <w:noProof/>
          </w:rPr>
          <w:t>Libië: Mensenrechteninstituties en mechanismen</w:t>
        </w:r>
        <w:r>
          <w:rPr>
            <w:noProof/>
            <w:webHidden/>
          </w:rPr>
          <w:tab/>
        </w:r>
        <w:r>
          <w:rPr>
            <w:noProof/>
            <w:webHidden/>
          </w:rPr>
          <w:fldChar w:fldCharType="begin"/>
        </w:r>
        <w:r>
          <w:rPr>
            <w:noProof/>
            <w:webHidden/>
          </w:rPr>
          <w:instrText xml:space="preserve"> PAGEREF _Toc296090835 \h </w:instrText>
        </w:r>
        <w:r>
          <w:rPr>
            <w:noProof/>
          </w:rPr>
        </w:r>
        <w:r>
          <w:rPr>
            <w:noProof/>
            <w:webHidden/>
          </w:rPr>
          <w:fldChar w:fldCharType="separate"/>
        </w:r>
        <w:r>
          <w:rPr>
            <w:noProof/>
            <w:webHidden/>
          </w:rPr>
          <w:t>9</w:t>
        </w:r>
        <w:r>
          <w:rPr>
            <w:noProof/>
            <w:webHidden/>
          </w:rPr>
          <w:fldChar w:fldCharType="end"/>
        </w:r>
      </w:hyperlink>
    </w:p>
    <w:p w:rsidR="00704A92" w:rsidRDefault="00704A92">
      <w:pPr>
        <w:pStyle w:val="TOC1"/>
        <w:tabs>
          <w:tab w:val="right" w:leader="dot" w:pos="9062"/>
        </w:tabs>
        <w:rPr>
          <w:noProof/>
        </w:rPr>
      </w:pPr>
      <w:hyperlink w:anchor="_Toc296090836" w:history="1">
        <w:r w:rsidRPr="00831AF6">
          <w:rPr>
            <w:rStyle w:val="Hyperlink"/>
            <w:noProof/>
          </w:rPr>
          <w:t>Hoofdstuk 14: Het beleid en de processen van global governance</w:t>
        </w:r>
        <w:r>
          <w:rPr>
            <w:noProof/>
            <w:webHidden/>
          </w:rPr>
          <w:tab/>
        </w:r>
        <w:r>
          <w:rPr>
            <w:noProof/>
            <w:webHidden/>
          </w:rPr>
          <w:fldChar w:fldCharType="begin"/>
        </w:r>
        <w:r>
          <w:rPr>
            <w:noProof/>
            <w:webHidden/>
          </w:rPr>
          <w:instrText xml:space="preserve"> PAGEREF _Toc296090836 \h </w:instrText>
        </w:r>
        <w:r>
          <w:rPr>
            <w:noProof/>
          </w:rPr>
        </w:r>
        <w:r>
          <w:rPr>
            <w:noProof/>
            <w:webHidden/>
          </w:rPr>
          <w:fldChar w:fldCharType="separate"/>
        </w:r>
        <w:r>
          <w:rPr>
            <w:noProof/>
            <w:webHidden/>
          </w:rPr>
          <w:t>13</w:t>
        </w:r>
        <w:r>
          <w:rPr>
            <w:noProof/>
            <w:webHidden/>
          </w:rPr>
          <w:fldChar w:fldCharType="end"/>
        </w:r>
      </w:hyperlink>
    </w:p>
    <w:p w:rsidR="00704A92" w:rsidRDefault="00704A92">
      <w:pPr>
        <w:pStyle w:val="TOC1"/>
        <w:tabs>
          <w:tab w:val="right" w:leader="dot" w:pos="9062"/>
        </w:tabs>
        <w:rPr>
          <w:noProof/>
        </w:rPr>
      </w:pPr>
      <w:hyperlink w:anchor="_Toc296090837" w:history="1">
        <w:r w:rsidRPr="00831AF6">
          <w:rPr>
            <w:rStyle w:val="Hyperlink"/>
            <w:noProof/>
          </w:rPr>
          <w:t>H16: Ontwikkelingslanden en economieën in transitie</w:t>
        </w:r>
        <w:r>
          <w:rPr>
            <w:noProof/>
            <w:webHidden/>
          </w:rPr>
          <w:tab/>
        </w:r>
        <w:r>
          <w:rPr>
            <w:noProof/>
            <w:webHidden/>
          </w:rPr>
          <w:fldChar w:fldCharType="begin"/>
        </w:r>
        <w:r>
          <w:rPr>
            <w:noProof/>
            <w:webHidden/>
          </w:rPr>
          <w:instrText xml:space="preserve"> PAGEREF _Toc296090837 \h </w:instrText>
        </w:r>
        <w:r>
          <w:rPr>
            <w:noProof/>
          </w:rPr>
        </w:r>
        <w:r>
          <w:rPr>
            <w:noProof/>
            <w:webHidden/>
          </w:rPr>
          <w:fldChar w:fldCharType="separate"/>
        </w:r>
        <w:r>
          <w:rPr>
            <w:noProof/>
            <w:webHidden/>
          </w:rPr>
          <w:t>17</w:t>
        </w:r>
        <w:r>
          <w:rPr>
            <w:noProof/>
            <w:webHidden/>
          </w:rPr>
          <w:fldChar w:fldCharType="end"/>
        </w:r>
      </w:hyperlink>
    </w:p>
    <w:p w:rsidR="00704A92" w:rsidRDefault="00704A92">
      <w:pPr>
        <w:pStyle w:val="TOC3"/>
        <w:tabs>
          <w:tab w:val="right" w:leader="dot" w:pos="9062"/>
        </w:tabs>
        <w:rPr>
          <w:noProof/>
        </w:rPr>
      </w:pPr>
      <w:hyperlink w:anchor="_Toc296090838" w:history="1">
        <w:r w:rsidRPr="00831AF6">
          <w:rPr>
            <w:rStyle w:val="Hyperlink"/>
            <w:noProof/>
          </w:rPr>
          <w:t>Groeiend ledenaantal: WTO aanwinst</w:t>
        </w:r>
        <w:r>
          <w:rPr>
            <w:noProof/>
            <w:webHidden/>
          </w:rPr>
          <w:tab/>
        </w:r>
        <w:r>
          <w:rPr>
            <w:noProof/>
            <w:webHidden/>
          </w:rPr>
          <w:fldChar w:fldCharType="begin"/>
        </w:r>
        <w:r>
          <w:rPr>
            <w:noProof/>
            <w:webHidden/>
          </w:rPr>
          <w:instrText xml:space="preserve"> PAGEREF _Toc296090838 \h </w:instrText>
        </w:r>
        <w:r>
          <w:rPr>
            <w:noProof/>
          </w:rPr>
        </w:r>
        <w:r>
          <w:rPr>
            <w:noProof/>
            <w:webHidden/>
          </w:rPr>
          <w:fldChar w:fldCharType="separate"/>
        </w:r>
        <w:r>
          <w:rPr>
            <w:noProof/>
            <w:webHidden/>
          </w:rPr>
          <w:t>17</w:t>
        </w:r>
        <w:r>
          <w:rPr>
            <w:noProof/>
            <w:webHidden/>
          </w:rPr>
          <w:fldChar w:fldCharType="end"/>
        </w:r>
      </w:hyperlink>
    </w:p>
    <w:p w:rsidR="00704A92" w:rsidRDefault="00704A92">
      <w:pPr>
        <w:pStyle w:val="TOC1"/>
        <w:tabs>
          <w:tab w:val="right" w:leader="dot" w:pos="9062"/>
        </w:tabs>
        <w:rPr>
          <w:noProof/>
        </w:rPr>
      </w:pPr>
      <w:hyperlink w:anchor="_Toc296090839" w:history="1">
        <w:r w:rsidRPr="00831AF6">
          <w:rPr>
            <w:rStyle w:val="Hyperlink"/>
            <w:noProof/>
            <w:lang w:val="en-GB"/>
          </w:rPr>
          <w:t>Hoofdstuk 17: The need for global governance</w:t>
        </w:r>
        <w:r>
          <w:rPr>
            <w:noProof/>
            <w:webHidden/>
          </w:rPr>
          <w:tab/>
        </w:r>
        <w:r>
          <w:rPr>
            <w:noProof/>
            <w:webHidden/>
          </w:rPr>
          <w:fldChar w:fldCharType="begin"/>
        </w:r>
        <w:r>
          <w:rPr>
            <w:noProof/>
            <w:webHidden/>
          </w:rPr>
          <w:instrText xml:space="preserve"> PAGEREF _Toc296090839 \h </w:instrText>
        </w:r>
        <w:r>
          <w:rPr>
            <w:noProof/>
          </w:rPr>
        </w:r>
        <w:r>
          <w:rPr>
            <w:noProof/>
            <w:webHidden/>
          </w:rPr>
          <w:fldChar w:fldCharType="separate"/>
        </w:r>
        <w:r>
          <w:rPr>
            <w:noProof/>
            <w:webHidden/>
          </w:rPr>
          <w:t>22</w:t>
        </w:r>
        <w:r>
          <w:rPr>
            <w:noProof/>
            <w:webHidden/>
          </w:rPr>
          <w:fldChar w:fldCharType="end"/>
        </w:r>
      </w:hyperlink>
    </w:p>
    <w:p w:rsidR="00704A92" w:rsidRDefault="00704A92">
      <w:pPr>
        <w:pStyle w:val="TOC1"/>
        <w:tabs>
          <w:tab w:val="right" w:leader="dot" w:pos="9062"/>
        </w:tabs>
        <w:rPr>
          <w:noProof/>
        </w:rPr>
      </w:pPr>
      <w:hyperlink w:anchor="_Toc296090840" w:history="1">
        <w:r w:rsidRPr="00831AF6">
          <w:rPr>
            <w:rStyle w:val="Hyperlink"/>
            <w:noProof/>
          </w:rPr>
          <w:t>Hoofstuk 19: De G20 en de post-crisis economische orde</w:t>
        </w:r>
        <w:r>
          <w:rPr>
            <w:noProof/>
            <w:webHidden/>
          </w:rPr>
          <w:tab/>
        </w:r>
        <w:r>
          <w:rPr>
            <w:noProof/>
            <w:webHidden/>
          </w:rPr>
          <w:fldChar w:fldCharType="begin"/>
        </w:r>
        <w:r>
          <w:rPr>
            <w:noProof/>
            <w:webHidden/>
          </w:rPr>
          <w:instrText xml:space="preserve"> PAGEREF _Toc296090840 \h </w:instrText>
        </w:r>
        <w:r>
          <w:rPr>
            <w:noProof/>
          </w:rPr>
        </w:r>
        <w:r>
          <w:rPr>
            <w:noProof/>
            <w:webHidden/>
          </w:rPr>
          <w:fldChar w:fldCharType="separate"/>
        </w:r>
        <w:r>
          <w:rPr>
            <w:noProof/>
            <w:webHidden/>
          </w:rPr>
          <w:t>25</w:t>
        </w:r>
        <w:r>
          <w:rPr>
            <w:noProof/>
            <w:webHidden/>
          </w:rPr>
          <w:fldChar w:fldCharType="end"/>
        </w:r>
      </w:hyperlink>
    </w:p>
    <w:p w:rsidR="00704A92" w:rsidRDefault="00704A92">
      <w:pPr>
        <w:pStyle w:val="TOC1"/>
        <w:tabs>
          <w:tab w:val="right" w:leader="dot" w:pos="9062"/>
        </w:tabs>
        <w:rPr>
          <w:noProof/>
        </w:rPr>
      </w:pPr>
      <w:hyperlink w:anchor="_Toc296090841" w:history="1">
        <w:r w:rsidRPr="00831AF6">
          <w:rPr>
            <w:rStyle w:val="Hyperlink"/>
            <w:noProof/>
          </w:rPr>
          <w:t>H20: De toekomst van het G20 proces</w:t>
        </w:r>
        <w:r>
          <w:rPr>
            <w:noProof/>
            <w:webHidden/>
          </w:rPr>
          <w:tab/>
        </w:r>
        <w:r>
          <w:rPr>
            <w:noProof/>
            <w:webHidden/>
          </w:rPr>
          <w:fldChar w:fldCharType="begin"/>
        </w:r>
        <w:r>
          <w:rPr>
            <w:noProof/>
            <w:webHidden/>
          </w:rPr>
          <w:instrText xml:space="preserve"> PAGEREF _Toc296090841 \h </w:instrText>
        </w:r>
        <w:r>
          <w:rPr>
            <w:noProof/>
          </w:rPr>
        </w:r>
        <w:r>
          <w:rPr>
            <w:noProof/>
            <w:webHidden/>
          </w:rPr>
          <w:fldChar w:fldCharType="separate"/>
        </w:r>
        <w:r>
          <w:rPr>
            <w:noProof/>
            <w:webHidden/>
          </w:rPr>
          <w:t>31</w:t>
        </w:r>
        <w:r>
          <w:rPr>
            <w:noProof/>
            <w:webHidden/>
          </w:rPr>
          <w:fldChar w:fldCharType="end"/>
        </w:r>
      </w:hyperlink>
    </w:p>
    <w:p w:rsidR="00704A92" w:rsidRPr="00803EAC" w:rsidRDefault="00704A92" w:rsidP="00803EAC">
      <w:r>
        <w:fldChar w:fldCharType="end"/>
      </w:r>
    </w:p>
    <w:p w:rsidR="00704A92" w:rsidRDefault="00704A92" w:rsidP="00803EAC">
      <w:pPr>
        <w:pStyle w:val="Heading1"/>
      </w:pPr>
      <w:r>
        <w:br w:type="page"/>
      </w:r>
      <w:bookmarkStart w:id="0" w:name="_Toc296090830"/>
      <w:r>
        <w:t>Hoofdstuk 13: supplement Libië</w:t>
      </w:r>
      <w:bookmarkEnd w:id="0"/>
    </w:p>
    <w:p w:rsidR="00704A92" w:rsidRDefault="00704A92" w:rsidP="00331B44">
      <w:pPr>
        <w:pStyle w:val="Heading3"/>
      </w:pPr>
      <w:bookmarkStart w:id="1" w:name="_Toc296090831"/>
      <w:r>
        <w:t>Promoten van veiligheid en menselijkheid</w:t>
      </w:r>
      <w:bookmarkEnd w:id="1"/>
    </w:p>
    <w:p w:rsidR="00704A92" w:rsidRDefault="00704A92" w:rsidP="00331B44">
      <w:r>
        <w:t xml:space="preserve">Vele normen: </w:t>
      </w:r>
    </w:p>
    <w:p w:rsidR="00704A92" w:rsidRDefault="00704A92" w:rsidP="00331B44">
      <w:pPr>
        <w:pStyle w:val="ListParagraph"/>
        <w:numPr>
          <w:ilvl w:val="0"/>
          <w:numId w:val="5"/>
        </w:numPr>
      </w:pPr>
      <w:r>
        <w:t>4 conventies van Genève ’49 en hun 2 additionele protocols(’77)</w:t>
      </w:r>
      <w:r>
        <w:rPr>
          <w:szCs w:val="20"/>
        </w:rPr>
        <w:sym w:font="Wingdings" w:char="F0E0"/>
      </w:r>
      <w:r>
        <w:t>194 staten</w:t>
      </w:r>
    </w:p>
    <w:p w:rsidR="00704A92" w:rsidRDefault="00704A92" w:rsidP="00331B44">
      <w:pPr>
        <w:pStyle w:val="ListParagraph"/>
        <w:numPr>
          <w:ilvl w:val="0"/>
          <w:numId w:val="5"/>
        </w:numPr>
      </w:pPr>
      <w:r>
        <w:t>Internationale vluchtelingenwet(vooral VN conventie in ’51 gerelateerd aan de vluchtelingenstatus en zijn protocol van ‘67</w:t>
      </w:r>
    </w:p>
    <w:p w:rsidR="00704A92" w:rsidRDefault="00704A92" w:rsidP="00331B44">
      <w:pPr>
        <w:pStyle w:val="ListParagraph"/>
        <w:numPr>
          <w:ilvl w:val="0"/>
          <w:numId w:val="5"/>
        </w:numPr>
      </w:pPr>
      <w:r>
        <w:t>Taboe op gebruik van chemische en nucleaire wapen</w:t>
      </w:r>
    </w:p>
    <w:p w:rsidR="00704A92" w:rsidRDefault="00704A92" w:rsidP="00331B44">
      <w:pPr>
        <w:pStyle w:val="ListParagraph"/>
        <w:numPr>
          <w:ilvl w:val="0"/>
          <w:numId w:val="5"/>
        </w:numPr>
      </w:pPr>
      <w:r>
        <w:t>Andere wapencontroleverdragen</w:t>
      </w:r>
    </w:p>
    <w:p w:rsidR="00704A92" w:rsidRDefault="00704A92" w:rsidP="00331B44">
      <w:r>
        <w:t xml:space="preserve">De conventies in Genève zijn de kern van de internationale humanitaire wet, opgericht om burgers, oorlogsgevangenen, gewonde soldaten te beschermen en om bepaalde oorlogsmethoden te verbannen. Ze vormen ook de wettelijke basis voor oorlogsmisdaden. De internationale vluchtelingenwet voorziet wettelijke bescherming voor hen die over internationale grenzen geplaatst zijn. </w:t>
      </w:r>
      <w:r w:rsidRPr="00340B38">
        <w:t xml:space="preserve">De internationale mensenrechtenwet, inclusief the Universal Declaration of Human Rights, The international Covenant on Political and Civil Rights en de conventies over marteling, massamoord, vluchtelingen en kinderen samen met het fundamenteel principe </w:t>
      </w:r>
      <w:r>
        <w:t>van non-discriminatie tussen mensen, is de basis voor misdaden tegen de menselijkheid. Zowel oorlogsmisdaden als misdaden tegen de menselijkheid zijn ook uitgelegd in the International Criminal Court’s Rome Statute, samen met massamoord. De meeste normen over gewapende conflicten gelden enkel voor oorlogen tussen staten en naar staten toe, maar niet voor non-staat actoren, enkel het 2</w:t>
      </w:r>
      <w:r w:rsidRPr="00D425B9">
        <w:rPr>
          <w:vertAlign w:val="superscript"/>
        </w:rPr>
        <w:t>e</w:t>
      </w:r>
      <w:r>
        <w:t xml:space="preserve"> protocol van de Genève conventies is hiervoor geldig.</w:t>
      </w:r>
    </w:p>
    <w:p w:rsidR="00704A92" w:rsidRDefault="00704A92" w:rsidP="00331B44">
      <w:r>
        <w:t>Misdaden tegen de menselijkheid zijn volgens het Statuut van Rome en systematische aanval tegen eender welke populatie van burgers, met kennis van de aanval en de volgende daden werden gepleegd:</w:t>
      </w:r>
    </w:p>
    <w:p w:rsidR="00704A92" w:rsidRDefault="00704A92" w:rsidP="00331B44">
      <w:pPr>
        <w:pStyle w:val="ListParagraph"/>
        <w:numPr>
          <w:ilvl w:val="0"/>
          <w:numId w:val="6"/>
        </w:numPr>
      </w:pPr>
      <w:r>
        <w:t>Moord</w:t>
      </w:r>
    </w:p>
    <w:p w:rsidR="00704A92" w:rsidRDefault="00704A92" w:rsidP="00331B44">
      <w:pPr>
        <w:pStyle w:val="ListParagraph"/>
        <w:numPr>
          <w:ilvl w:val="0"/>
          <w:numId w:val="6"/>
        </w:numPr>
      </w:pPr>
      <w:r>
        <w:t>Uitroeiing</w:t>
      </w:r>
    </w:p>
    <w:p w:rsidR="00704A92" w:rsidRDefault="00704A92" w:rsidP="00331B44">
      <w:pPr>
        <w:pStyle w:val="ListParagraph"/>
        <w:numPr>
          <w:ilvl w:val="0"/>
          <w:numId w:val="6"/>
        </w:numPr>
      </w:pPr>
      <w:r>
        <w:t>Slavernij</w:t>
      </w:r>
    </w:p>
    <w:p w:rsidR="00704A92" w:rsidRDefault="00704A92" w:rsidP="00331B44">
      <w:pPr>
        <w:pStyle w:val="ListParagraph"/>
        <w:numPr>
          <w:ilvl w:val="0"/>
          <w:numId w:val="6"/>
        </w:numPr>
      </w:pPr>
      <w:r>
        <w:t>Transport van populatie</w:t>
      </w:r>
    </w:p>
    <w:p w:rsidR="00704A92" w:rsidRDefault="00704A92" w:rsidP="00331B44">
      <w:pPr>
        <w:pStyle w:val="ListParagraph"/>
        <w:numPr>
          <w:ilvl w:val="0"/>
          <w:numId w:val="6"/>
        </w:numPr>
      </w:pPr>
      <w:r>
        <w:t>In gevangenschap nemen of andere sterke ontneming van fysieke vrijheid</w:t>
      </w:r>
    </w:p>
    <w:p w:rsidR="00704A92" w:rsidRDefault="00704A92" w:rsidP="00331B44">
      <w:pPr>
        <w:pStyle w:val="ListParagraph"/>
        <w:numPr>
          <w:ilvl w:val="0"/>
          <w:numId w:val="6"/>
        </w:numPr>
      </w:pPr>
      <w:r>
        <w:t>Marteling</w:t>
      </w:r>
    </w:p>
    <w:p w:rsidR="00704A92" w:rsidRDefault="00704A92" w:rsidP="00331B44">
      <w:pPr>
        <w:pStyle w:val="ListParagraph"/>
        <w:numPr>
          <w:ilvl w:val="0"/>
          <w:numId w:val="6"/>
        </w:numPr>
      </w:pPr>
      <w:r>
        <w:t>Verkrachting, seksuele slavernij, gedwongen prostitutie, zwangerschap of sterelisatie</w:t>
      </w:r>
    </w:p>
    <w:p w:rsidR="00704A92" w:rsidRDefault="00704A92" w:rsidP="00331B44">
      <w:pPr>
        <w:pStyle w:val="ListParagraph"/>
        <w:numPr>
          <w:ilvl w:val="0"/>
          <w:numId w:val="6"/>
        </w:numPr>
      </w:pPr>
      <w:r>
        <w:t>Vervolgen van eender welke groep of gemeenschap gebaseerd op politieke, racistische, nationale, ethische, culturele, religieuze of geslachtsredenen</w:t>
      </w:r>
    </w:p>
    <w:p w:rsidR="00704A92" w:rsidRDefault="00704A92" w:rsidP="00331B44">
      <w:pPr>
        <w:pStyle w:val="ListParagraph"/>
        <w:numPr>
          <w:ilvl w:val="0"/>
          <w:numId w:val="6"/>
        </w:numPr>
      </w:pPr>
      <w:r>
        <w:t>Gedwongen verdwijning van personen</w:t>
      </w:r>
    </w:p>
    <w:p w:rsidR="00704A92" w:rsidRDefault="00704A92" w:rsidP="00331B44">
      <w:r>
        <w:t>De evolutie van mensenrechten en humanitaire normen hebben nieuwe eisen op de VN, andere IGOs en internationale actoren geplaatst om misbruik in toom te houden ondanks de mediapubliciteit en globale netwerkweken van NGOs van situaties die betrekking hebben op massauithongering, massamoord en andere gruwelijkheden. Dit heeft geleid tot debatten over humanitaire interventie, beroep doen op verschillende visies van staatssoevereiniteit en bezorgdheden over wat de goede zaak is en autoriteit die ontstaan is uit de ‘maar oorlog’ traditie. De Genocide conventie(’48) voorzag de mogelijkheid  voor VN actie onder de oorkonde om misdaden tegen de menselijkheid te voorkomen of te onderdrukken. Ad hoc oorlogsmisdaden rechtzaken, samen met het Internationaal gerechtshof, voorzag manieren om zij die beschuldigd waren van zulke misdaden te vervolgen. Militaire interventie om gehoorzaamheid te dwingen is een ander verhaal. Hoewel the Universal Declaration of Human Rights waarschuwt dat mensen wiens rechten beschadigd zijn, gedwongen kunnen zijn om tot rebellie over te gaan tegen tirannie en onderdrukking. Verantwoordt dit  grootschaals lijden dan het gebruik van wapens om anderen te redden als vaak de overheid voornamelijk de daders zijn?</w:t>
      </w:r>
    </w:p>
    <w:p w:rsidR="00704A92" w:rsidRDefault="00704A92" w:rsidP="00331B44">
      <w:r>
        <w:t xml:space="preserve">Het recht om tussen te komen was eerst gepopulariseerd door artsen zonder grenzen en geeft prioriteit aan humanitaire hulp aan oorlogsslachtoffers voor respect voor staatssoevereiniteit. NGOs, burgerlijke sociale activisten, prominente individuen en een onafhankelijke internationale commissie hebben gradueel  druk uitgeoefend voor meer aanvaarding voor nationale en internationale controleerbaarheid, voor mensenrechtennormen te gebruiken om staatsgedrag te veroordelen en voor nieuwe interpretaties  van soevereiniteit. </w:t>
      </w:r>
    </w:p>
    <w:p w:rsidR="00704A92" w:rsidRDefault="00704A92" w:rsidP="00331B44">
      <w:r>
        <w:t>Het falen van de VN en de internationale samenleving om een stop te roepen voor de massamoord in Rwanda in ’94 gekoppeld met de controversie rond de interventie van de NAVO in Kosovo in ’99, zorgde ervoor dat Kofi Annan zijn eigen visies formuleerde over hoe staat soevereiniteit geherdefinieerd moet worden en adresseerde dit aan de AV in ’99. Hij zei dat deze ontwikkelingen eisen dat we anders moeten denken over de manier waarop de VN reageert op de politiek, humanitaire rechten en de humanitaire crisis die een invloed hebben op een groot deel van de wereld.</w:t>
      </w:r>
    </w:p>
    <w:p w:rsidR="00704A92" w:rsidRDefault="00704A92" w:rsidP="00331B44">
      <w:r>
        <w:t>Als reactie werd de onafhankelijk International Commission on Intervention and State Sovereignty(ICISS) gevestigd. Deze stelde 6 criteria voor militaire interventie voor mensenbescherming voor: goede autoriteit, goede zaak, goede intentie, geen enkele andere mogelijkheid, proportionele middelen en aannemelijke vooruitzichten. De drempel criteria is: een groot verlies van levens met massamoord intentie of niet, die het product is van eender welke opzettelijke staat actie of negeren van de staat of de het is niet mogelijk om te reageren  en die gebeurt door doden, geforceerde uitbuiting en acties van terreur of verkrachting. Het rapport van de commissie vond dat de verantwoordelijkheid was om te beschermen(R2P) een verplichting was voor staten en de internationale samenleving.</w:t>
      </w:r>
    </w:p>
    <w:p w:rsidR="00704A92" w:rsidRDefault="00704A92" w:rsidP="00331B44">
      <w:r>
        <w:t>De internationale wet vraagt verschillende zaken om het bestaan van een nieuwe gebruikelijke praktijk aan te tonen. Als een groot aantal staten bereid is om de nieuwe te accepteren, zal het de oude vervangen. Het debat over of er een norm van humanitaire interventie is, zal daarom nog even voortduren. De VR heeft de bevestiging van de VN wereldtop immers nog niet kunnen vertalen in een bereidheid om genoeg macht te gebruiken om de massamoord in Darfur, misdaden tegen de menselijkheid in Kongo of het lijden van een massa bij het afbreken van de staat in Zimbabwe, halt toe te roepen.</w:t>
      </w:r>
    </w:p>
    <w:p w:rsidR="00704A92" w:rsidRDefault="00704A92" w:rsidP="00331B44">
      <w:r>
        <w:t>Het debat over R2P heeft het probleem over wie de autoriteit heeft om humanitaire interventie legaal te maken, doen oplaaien en heeft de visie dat enkel de VR deze autoriteit heeft, kracht bijgezet. Vele Aziatische en Afrikaanse landen zijn echter sceptisch over de altruïstische bedoelingen van de westerse landen door een geschiedenis van kolonisatie. Samen met Rusland en China stonden ze erop dat de autorisatie van de VR als een eerste vereiste om hen te beschermen tegen nieuwe vormen van imperialisme aan de ene kant en om hen te bewaren van de principes van non-interventie aan de andere kant. Het debat over het feit of regionale organisaties zoals de NAVO interventies mogen ondernemen, vereisen autorisatie van de VR. The Non-Aligned Movement en de G77 hebben bijvoorbeeld de norm van humanitaire interventie geweigerd.</w:t>
      </w:r>
    </w:p>
    <w:p w:rsidR="00704A92" w:rsidRDefault="00704A92" w:rsidP="00331B44">
      <w:r>
        <w:t>In 2000 en 2008 heeft de VR geslachtstraining, bescherming van vrouwen, geslachtsmainstreaminging in VN rapporten en implementatiesystemen gerelateerd aan vrede en veiligheid en het veroordelen van seksueel geweld wanneer het gebruikt word om burgers te treffen in oorlogstijd in vredesoperaties goedgekeurd. Samen met de ontwikkelende R2P norm, illustreren deze acties de veranderende begrippen van veiligheid, zeker het concept van humanitaire veiligheid, en reflecteren ze op het actieve pleiten van de NGOs. Vredesoperatiemandaten vermelden nu routineus taal over vrouwen en geslacht en vele vredesoperaties hebben geslachtsadviseuren aangenomen en sommigen hebben zelfs kantoren voor geslachtszaken. Geslachtsgevoelige training programma’s zijn meer geïnstitutionaliseerd en vrouwen zijn aangeworven voor specifieke vredebewaring taken.</w:t>
      </w:r>
    </w:p>
    <w:p w:rsidR="00704A92" w:rsidRDefault="00704A92" w:rsidP="00331B44">
      <w:r>
        <w:t>De taboe over het gebruik van nucleaire wapens ontstond door het feit dat deze wapens werden gedefinieerd als ‘dodelijk buiten proportie’. Het gaat samen met een gelijkaardige norm over chemische wapens die ontstaan is uit The Hague Declaration van 1899, die symbolische gelinkt was met de standaarden van burgerlijk gedrag. Recent zijn er ook normen gevestigd om fabrieksvoorraden en het gebruik van andere wapens die onnodig menselijk lijden veroorzaken te bannen. Al deze rollen worden sterk beïnvloedt door de verschillende internationale relaties theorieën.</w:t>
      </w:r>
    </w:p>
    <w:p w:rsidR="00704A92" w:rsidRDefault="00704A92" w:rsidP="00331B44">
      <w:pPr>
        <w:pStyle w:val="Heading3"/>
      </w:pPr>
      <w:bookmarkStart w:id="2" w:name="_Toc296090832"/>
      <w:r>
        <w:t>Strafuitvoering en sancties</w:t>
      </w:r>
      <w:bookmarkEnd w:id="2"/>
    </w:p>
    <w:p w:rsidR="00704A92" w:rsidRDefault="00704A92" w:rsidP="00331B44">
      <w:r>
        <w:t>Sancties zijn lang het favoriete middel geweest van de inspanningen van staten om ervoor te zorgen dat andere doen wat ze willen. Unilateraal ingevoerde sancties zijn echter altijd problematisch geweest, omdat ze geen alternatieve markten en voorraadbronnen voor de bewuste staten afsluiten. Het organiseren van multilaterale sancties zonder multilateraal forum of organisatie om zo de diplomatische transactiekosten  van het beveiligen van de medewerking van andere staten te verminderen, is moeilijk. Deze multilaterale sancties werden zelden gebruikt hoewel het potentieel om sancties te gebruiken geïntensifieerd was.</w:t>
      </w:r>
    </w:p>
    <w:p w:rsidR="00704A92" w:rsidRDefault="00704A92" w:rsidP="00331B44">
      <w:r>
        <w:t>Sinds WO2 zijn sancties de kern om strafuitvoering te implementeren. De VR gebruikte verschillende vormen van sancties in 14 situaties over de laatste 11 jaar en 8 andere sancties tussen 2003-2009, terwijl 4 sancties van ’90 nog voortduurden. 14 van deze gevallen waren intrastaat conflicten, 4 terrorisme, 3 de proliferatie van de WMD(vooral nucleaire wapens). Regionale organisaties hadden ook sancties voorzien in sommige van de gevallen van in de jaren ’90 en er zijn ook verschillende voorbeelden van staten die unilaterale wapenembargo’s, handelsrestricties en andere maatregelen invoerden.</w:t>
      </w:r>
    </w:p>
    <w:p w:rsidR="00704A92" w:rsidRDefault="00704A92" w:rsidP="00331B44">
      <w:r>
        <w:t>Sancties worden gezien als een makkelijker en goedkoper middel dan gewapende kracht. Vooral wanneer overvloedige handelssancties worden gebruikt en volledig worden geïmplementeerd, wat de bedoelde economie afzondert, wordt verwacht dat ze een politiek effect hebben door het opleggen van economische en andere kosten aan de staat en de mensen die slecht deden. Het zijn middelen van afstraffing en dwangactie.</w:t>
      </w:r>
    </w:p>
    <w:p w:rsidR="00704A92" w:rsidRDefault="00704A92" w:rsidP="00331B44">
      <w:r>
        <w:t>Deze sancties zullen opgeheven worden zodra er een kans is op goed gedrag, dus wat ook een verandering van overheid kan betekenen. Een alternatieve aanpak is het afding model waar specifieke types van sancties geïntegreerd worden met stimulerende maatregelen om een stap-voor-stap veranderingsproces te laten werken. De doelstaat krijgt vaak beloningen voor het nemen van goede stappen, ipv alles doen wat verwacht wordt om sancties te zien opgeheven worden.</w:t>
      </w:r>
    </w:p>
    <w:p w:rsidR="00704A92" w:rsidRDefault="00704A92" w:rsidP="00331B44">
      <w:pPr>
        <w:rPr>
          <w:rStyle w:val="Strong"/>
        </w:rPr>
      </w:pPr>
    </w:p>
    <w:p w:rsidR="00704A92" w:rsidRDefault="00704A92" w:rsidP="00331B44">
      <w:pPr>
        <w:rPr>
          <w:rStyle w:val="Strong"/>
        </w:rPr>
      </w:pPr>
      <w:r>
        <w:rPr>
          <w:rStyle w:val="Strong"/>
        </w:rPr>
        <w:t>Irak en het probleem met omvangrijke sancties</w:t>
      </w:r>
    </w:p>
    <w:p w:rsidR="00704A92" w:rsidRDefault="00704A92" w:rsidP="00331B44">
      <w:pPr>
        <w:rPr>
          <w:rStyle w:val="Strong"/>
          <w:b w:val="0"/>
        </w:rPr>
      </w:pPr>
      <w:r>
        <w:rPr>
          <w:rStyle w:val="Strong"/>
          <w:b w:val="0"/>
        </w:rPr>
        <w:t>Toen Irak  Koeweit aanviel in ’90, keurde de VR deze actie onmiddellijk af en eiste terugtrekking. Latere resoluties legde verplichte economische en transportsancties op tegen Irak en vestigde een sanctiecomité om de implementatie te overzien. Na de golfoorlog in ’91 tekende de VR Resolutie 687, die de modaliteiten van een staakt-het-vuren overeenkomst en een doordacht plan voor het ontmantelen van de nucleaire wapens van Irak uiteenzetten. De resolutie zegt dat Irak de vernietiging moet accepteren onder internationale supervisie, het moet ook akkoord gaan om geen nieuwe wapens te ontwikkelen en al het nucleair materiaal moet onder internationale controle. Irak moest ook slachtoffers compenseren voor verliezen of schade, en hiervoor moesten ze geld van het verkopen van olie gebruiken en zo een compensatie commissie creëren om het fonds te beheren en vorderingen tegen Irak af te lossen. De vroegere allesomvattende sancties bleven bestaan tot alle bepalingen uitgevoerd waren en de VR tevreden was. De enige uitzondering was dat olieverkoop geautoriseerd werd onder het Oil-for-Food Programme in ’95 om voor voedsel en medische voorzieningen te betalen.</w:t>
      </w:r>
    </w:p>
    <w:p w:rsidR="00704A92" w:rsidRDefault="00704A92" w:rsidP="00331B44">
      <w:pPr>
        <w:rPr>
          <w:rStyle w:val="Strong"/>
          <w:b w:val="0"/>
        </w:rPr>
      </w:pPr>
      <w:r>
        <w:rPr>
          <w:rStyle w:val="Strong"/>
          <w:b w:val="0"/>
        </w:rPr>
        <w:t>Tegen het einde van de jaren ’90 waren de sancties in Irak sterk controversieel geworden. ER was een humanitaire crisis die wereldwijd sympathie opriep voor het eindigen van de sancties, hoewel het lijden niet volledig afhankelijk was van deze. De overheid van Irak deed de crisis opvlammen voor politieke doelen en weigerde internationale voorstellen om het te doen minderen. Alleen soms werkte de overheid mee, maar manipuleerde het nog zo dat het voor hun eigen winsten was. Toch zorgde de groeiende moeheid van sancties in buur- en andere landen die afhankelijk waren van handel met Irak en het verminderen van de volgzaamheid ervoor dat ongeautoriseerde handel en transportlinks vermeerderden. De VS en VK stonden er echter op dat er volgzaamheid was voor de sancties opgeheven konden worden en weigerden voorstellen van andere landen om de coöperatie van Irak te belonen en verdere vooruitgang te stimuleren door het deels opheffen van de sancties. Het resultaat was een impasse aangezien Saddam Hoessein niet de intentie had om mee te werken.</w:t>
      </w:r>
    </w:p>
    <w:p w:rsidR="00704A92" w:rsidRDefault="00704A92" w:rsidP="00331B44">
      <w:pPr>
        <w:rPr>
          <w:rStyle w:val="Strong"/>
          <w:b w:val="0"/>
        </w:rPr>
      </w:pPr>
      <w:r>
        <w:rPr>
          <w:rStyle w:val="Strong"/>
          <w:b w:val="0"/>
        </w:rPr>
        <w:t>In 2001 en 2002 stelden NGOs, mensenrechtengroepen en onafhankelijke onderzoekscentra voorstellen voor om de impasse te beëindigen. Ze focusten op het ‘slimme sancties’ idee om de druk op Irak om volgzaam te zijn  met de ontwapening bepalingen te behouden door de leiders daar te raken waar het pijn deed. Hierbij zouden ze wel de meeste beperkingen op burgerlijke import opheffen. Er werd geen actie ondernomen, maar in 2003, gevolgd door de VS invasie, werden de sancties opgeheven. Het militaire  en wapens programma van Irak was langzaam uitgedund onder het gewicht van de sancties. Toch was er nog veel corruptie door de OFFP en de sancties creëerden een grote afkeer voor de VS en zijn allianties, die als kernsupporters van deze sancties werden gezien. De sancties hebben dus misschien wel het onbedoelde gevolg van het aanwakkeren van militante Islam en anti-Westeralisme met zich mee gebracht.</w:t>
      </w:r>
    </w:p>
    <w:p w:rsidR="00704A92" w:rsidRDefault="00704A92" w:rsidP="00331B44">
      <w:pPr>
        <w:rPr>
          <w:rStyle w:val="Strong"/>
          <w:b w:val="0"/>
        </w:rPr>
      </w:pPr>
      <w:r>
        <w:rPr>
          <w:rStyle w:val="Strong"/>
          <w:b w:val="0"/>
        </w:rPr>
        <w:t>Deze ervaring heeft 3 ander types van problemen  met allesomvattende sancties aangetoond:</w:t>
      </w:r>
    </w:p>
    <w:p w:rsidR="00704A92" w:rsidRDefault="00704A92" w:rsidP="00331B44">
      <w:pPr>
        <w:pStyle w:val="ListParagraph"/>
        <w:numPr>
          <w:ilvl w:val="0"/>
          <w:numId w:val="7"/>
        </w:numPr>
      </w:pPr>
      <w:r>
        <w:t>Grootschalige negatieve humanitaire effecten, vooral de sancties omtrent handel. Dit heeft de percepties van veel mensen over de pijn/winst trade-offs in sancties gewijzigd</w:t>
      </w:r>
    </w:p>
    <w:p w:rsidR="00704A92" w:rsidRDefault="00704A92" w:rsidP="00331B44">
      <w:pPr>
        <w:pStyle w:val="ListParagraph"/>
        <w:numPr>
          <w:ilvl w:val="0"/>
          <w:numId w:val="7"/>
        </w:numPr>
      </w:pPr>
      <w:r>
        <w:t>Het afzonderen van een economie bracht niet noodzakelijk economische pijn voor de overheden met zich mee en de vooruitzichten van volgzaamheid waren laag tenzij sancties hen specifiek troffen.</w:t>
      </w:r>
    </w:p>
    <w:p w:rsidR="00704A92" w:rsidRDefault="00704A92" w:rsidP="00331B44">
      <w:pPr>
        <w:pStyle w:val="ListParagraph"/>
        <w:numPr>
          <w:ilvl w:val="0"/>
          <w:numId w:val="7"/>
        </w:numPr>
      </w:pPr>
      <w:r>
        <w:t>In intrastaat conflicten en gefaalde staten waren gegeneraliseerde sancties vaak ineffectief voor leiders van gewapende facties of in een milieu waar normale overheidscontroles over taxatie, documentatie van import en export of grenzen afwezig waren</w:t>
      </w:r>
    </w:p>
    <w:p w:rsidR="00704A92" w:rsidRDefault="00704A92" w:rsidP="00331B44">
      <w:r>
        <w:t>Sancties moeten dus aangepast worden aan de specifieke situatie als ze effectief willen zijn. Sinds ’94 zijn er geen nieuwe sancties geïnitieerd door de VR of regionale organisaties. In plaats daarvan zijn er gerichte sancties gebruikt, inclusief wapenembargo’s, financiële sancties enz.</w:t>
      </w:r>
    </w:p>
    <w:p w:rsidR="00704A92" w:rsidRDefault="00704A92" w:rsidP="00331B44">
      <w:r>
        <w:t>Deze gerichte sancties gaan niet enkel over wat maar ook over wie, aangezien de internationale samenleving specifieke individuen en rebellengroepen wil treffen, ambiguïteit wil verminderen en de hoge humanitaire kosten van algemene sancties wil vermijden. Humanitaire impact evaluaties zijn nu standaardpraktijken, hoewel ze vaak moeilijk te leiden zijn.</w:t>
      </w:r>
    </w:p>
    <w:p w:rsidR="00704A92" w:rsidRDefault="00704A92" w:rsidP="00331B44">
      <w:r>
        <w:t>Het doel van deze sancties is ook verbreed. Na het einde van de KO, zijn sancties gebruikt om agressie tegen te gaan, om een democratisch verkozen overheid te herstellen, enz</w:t>
      </w:r>
    </w:p>
    <w:p w:rsidR="00704A92" w:rsidRDefault="00704A92" w:rsidP="00331B44">
      <w:r>
        <w:t>Na september 2001 heeft de VR Resolutie 1373 geschreven, met een brede set van financiële en andere sancties die gemaakt zijn om terrorisme te controleren.</w:t>
      </w:r>
    </w:p>
    <w:p w:rsidR="00704A92" w:rsidRDefault="00704A92" w:rsidP="00331B44">
      <w:r>
        <w:t>De VR ontdekte dat monitoren nodig was om staten en andere actoren sancties te doen volgen. Daarom begon de raad onafhankelijke expertpanels op te stellen om data te verzamelen over zij die sancties overtraden, netwerken en transacties.</w:t>
      </w:r>
    </w:p>
    <w:p w:rsidR="00704A92" w:rsidRDefault="00704A92" w:rsidP="00331B44">
      <w:r>
        <w:t>Vele andere actoren buiten IGOs zijn actief in het monitoren van sancties en ook NGOs spelen significante rollen in de implementatie, monitoren en evalueren van sancties</w:t>
      </w:r>
    </w:p>
    <w:p w:rsidR="00704A92" w:rsidRDefault="00704A92" w:rsidP="00331B44">
      <w:r>
        <w:t>Het aantal lessen dat geleerd werd in de jaren ’90 over hoe sancties te richten en te monitoren om hun impact te versterken en effectiever te reageren op verschillende dreigingen voor internationale vrede en veiligheid</w:t>
      </w:r>
    </w:p>
    <w:p w:rsidR="00704A92" w:rsidRDefault="00704A92" w:rsidP="00331B44">
      <w:r>
        <w:t>VB ANGOLA (zie p320)</w:t>
      </w:r>
    </w:p>
    <w:p w:rsidR="00704A92" w:rsidRDefault="00704A92" w:rsidP="00331B44"/>
    <w:p w:rsidR="00704A92" w:rsidRDefault="00704A92" w:rsidP="00331B44">
      <w:pPr>
        <w:rPr>
          <w:b/>
        </w:rPr>
      </w:pPr>
      <w:r>
        <w:rPr>
          <w:b/>
        </w:rPr>
        <w:t>Internationaal terrorisme tegenhouden</w:t>
      </w:r>
    </w:p>
    <w:p w:rsidR="00704A92" w:rsidRDefault="00704A92" w:rsidP="00331B44">
      <w:r>
        <w:t>Sancties is 1 van de manieren om met terrorisme om te gaan. De VN en EU hebben verschillende soorten van sancties opgesteld op staten zoals Libië, maar ook op de taliban, voor hun rollen in het steunen van terrorisme. De VS heeft ook  heeft ook de ‘List of States Sponsoring Terrorism’ van het staatsdepartement gebruikt als basis voor unilaterale sancties die variëren van een ban voor economische hulp tot stemmen tegen wereldbankleningen voor dezelfde landen, maar ook landen zoals Syrië. Sancties die bedoeld zijn om de bronnen van fondsen voor terroristen te stoppen zijn cruciaal en hangen af van de VS Treasury voor implementatie en coöperatie van financiële havens in de Cariben en de Pacifische naties. Ze eisen dat landen legale en technische capaciteiten ontwikkelen om financiële transacties te monitoren, accounts van individuen verbieden en snel te handelen zodat terroristen geen tijd hebben om hun fondsen te verplaatsen.</w:t>
      </w:r>
    </w:p>
    <w:p w:rsidR="00704A92" w:rsidRDefault="00704A92" w:rsidP="00331B44">
      <w:r>
        <w:t>Dan nog over de nucleaire wapens van Iran(p 322), iets wat naar mijn mening geen hol met Libië te maken heeft.</w:t>
      </w:r>
    </w:p>
    <w:p w:rsidR="00704A92" w:rsidRPr="003C5D14" w:rsidRDefault="00704A92" w:rsidP="00331B44">
      <w:pPr>
        <w:pStyle w:val="Heading3"/>
      </w:pPr>
      <w:bookmarkStart w:id="3" w:name="_Toc296090833"/>
      <w:r w:rsidRPr="003C5D14">
        <w:t>Humanitaire interventie: Het dilemma van de R2P</w:t>
      </w:r>
      <w:bookmarkEnd w:id="3"/>
    </w:p>
    <w:p w:rsidR="00704A92" w:rsidRDefault="00704A92" w:rsidP="00331B44">
      <w:r w:rsidRPr="003C5D14">
        <w:t>Conflicten na de KO zijn vooral gekenmerkt door grote humanitaire crisissen, misdaden tege</w:t>
      </w:r>
      <w:r>
        <w:t>n</w:t>
      </w:r>
      <w:r w:rsidRPr="003C5D14">
        <w:t xml:space="preserve"> de menselijkheid en oorlogsmisdaden, met een hoog aantal leden van de IDPs en vluchtelingen, </w:t>
      </w:r>
      <w:r>
        <w:t>massa</w:t>
      </w:r>
      <w:r w:rsidRPr="003C5D14">
        <w:t xml:space="preserve">verhongering, richten op burgers, enz. </w:t>
      </w:r>
      <w:r>
        <w:t>De  UNHCR en de humanitaire NGOs zijn nog nooit zo uitgedaagd om om te gaan met humanitaire tragedies. De onkunde van zwakkere staten om effectieve autoriteit uit te oefenen over hun gebied en populatie en de instorting van anderen zijn geresulteerd in anarchie, chronische wanorde, massa vluchtelingen, dodelijke burgeroorlogen.</w:t>
      </w:r>
    </w:p>
    <w:p w:rsidR="00704A92" w:rsidRDefault="00704A92" w:rsidP="00331B44">
      <w:r>
        <w:t>Met de creatie van de veilige havens en non-vliegzones in Irak in ’91, nam de internationale gemeenschap de eerste stappen van verschillende dwingende acties, zonder toestemming van de autoriteiten van de respectievelijke staten, om een halt te roepen aan het wijdverspreide lijden of dood. Dit waren de eerste stappen richting een reeks humanitaire interventies.</w:t>
      </w:r>
    </w:p>
    <w:p w:rsidR="00704A92" w:rsidRDefault="00704A92" w:rsidP="00331B44">
      <w:r>
        <w:t>Enkel voor de crisis in Oost-Timor gebruikte de VR H7. In alle andere zaken, riepen de initiële mandaten op tot traditionele vredesmissies of, bij Kosovo, waar er geen autorisatie was van de acties van de NAVO, een multidimensionele operatie dat volgde op de overeenkomst die het bombarderen door de NAVO deed eindigen.</w:t>
      </w:r>
    </w:p>
    <w:p w:rsidR="00704A92" w:rsidRDefault="00704A92" w:rsidP="00331B44">
      <w:r>
        <w:t>De zaken van humanitaire interventie deden een hele boel vragen opkomen over waar en wanneer er tussengekomen moest worden. De VN en de NAVO focusten bv op Joegoslavië maar negeerden de oorlog in Tsjetsjenië en de burgeroorlog in Afghanistan. Selectieve media en NGOs speelden een rol, maar ook de variërende nationale interesses en politieke bereidheid.</w:t>
      </w:r>
    </w:p>
    <w:p w:rsidR="00704A92" w:rsidRDefault="00704A92" w:rsidP="00331B44">
      <w:pPr>
        <w:rPr>
          <w:b/>
        </w:rPr>
      </w:pPr>
      <w:r>
        <w:t xml:space="preserve">Internationale acties waren ook vaak te laat om vele levens te redden en Annan autoriseerde onafhankelijke onderzoeken van wat er fout ging in Rwanda, </w:t>
      </w:r>
      <w:r w:rsidRPr="003757A1">
        <w:rPr>
          <w:b/>
        </w:rPr>
        <w:t>Kosovo en Srebrenica</w:t>
      </w:r>
      <w:r>
        <w:rPr>
          <w:b/>
        </w:rPr>
        <w:t>.</w:t>
      </w:r>
    </w:p>
    <w:p w:rsidR="00704A92" w:rsidRDefault="00704A92" w:rsidP="00331B44">
      <w:r>
        <w:t>Ondanks de selectiviteit, fouten en controversie, het feit dat het debat plaats heeft gevonden en dat de VR tijdens herhaaldelijk gerefereerd heeft naar humanitaire crisissen in de jaren 90 als bedreigen voor internationale vrede en veiligheid onder H7, duidt op een verandering. Tijdens de KO is er nooit gerefereerd geweest naar humanitaire interventie.  De VR autoriseerde meer dan 12 H7 operaties als reactie op de menselijke catastrofes, regionale organisaties werden in beslag genomen door deze problemen en reageerden, militaire en humanitaire agentschappen adopteerde nieuw beleid en praktijken. Als de nieuwe vorm van humanitaire interventie uiteindelijk bevestigd wordt, dan zal er meer nood zijn aan vroegere waarschuwing, voor preventieve acties waar zulke crisissen verwacht kunnen worden en voor vredebouwen als interventies hebben plaatsgevonden, aangezien staten, NGOS, IGOs zullen moeten samenwerken om hun collectieve info-verzamelen en analytische capaciteiten te vergroten. Maar in de toekomst zullen IGOS(ook VN) minder geneigd zijn om tussen te komen dan de coalities van staten die bereid zijn, dankzij de afwezigheid van standby VN legerkracht, de zwakte van vele regionale IGOs, te voortdurende oppositie naar de R2P norm bij sommige ontwikkelingslanden en de realiteit dat enkel staten de capaciteit hebben om 1000den troepen de wereld rond te vliegen om massamoord te stoppen.</w:t>
      </w:r>
    </w:p>
    <w:p w:rsidR="00704A92" w:rsidRPr="003C5D14" w:rsidRDefault="00704A92" w:rsidP="00331B44">
      <w:r>
        <w:t>Hoewel de VN de primaire IGO blijft voor het doen stijgen van alle types van vredesoperaties, regionale IGOs(AU,EU,NAVO) worden steeds meer betrokken bij de zaak. Hun activiteiten hebben tal van vragen opgroepen over de autoriteit van de VR, legitimiteit, capaciteit, coördinatie en effectiviteit.</w:t>
      </w:r>
    </w:p>
    <w:p w:rsidR="00704A92" w:rsidRPr="003C5D14" w:rsidRDefault="00704A92" w:rsidP="00331B44"/>
    <w:p w:rsidR="00704A92" w:rsidRDefault="00704A92" w:rsidP="00331B44">
      <w:pPr>
        <w:pStyle w:val="Heading3"/>
      </w:pPr>
      <w:bookmarkStart w:id="4" w:name="_Toc296090834"/>
      <w:r>
        <w:t>Resolutie van de VR</w:t>
      </w:r>
      <w:bookmarkEnd w:id="4"/>
    </w:p>
    <w:p w:rsidR="00704A92" w:rsidRDefault="00704A92" w:rsidP="00331B44">
      <w:pPr>
        <w:pStyle w:val="ListParagraph"/>
        <w:numPr>
          <w:ilvl w:val="0"/>
          <w:numId w:val="8"/>
        </w:numPr>
      </w:pPr>
      <w:r>
        <w:t>Uitdrukken van de bezorgdheden rond de situatie in Libië en het veroordelen van geweld en het gebruik van kracht tegen burgers</w:t>
      </w:r>
    </w:p>
    <w:p w:rsidR="00704A92" w:rsidRDefault="00704A92" w:rsidP="00331B44">
      <w:pPr>
        <w:pStyle w:val="ListParagraph"/>
        <w:numPr>
          <w:ilvl w:val="0"/>
          <w:numId w:val="8"/>
        </w:numPr>
      </w:pPr>
      <w:r>
        <w:t>Afkeuren van het systematische schaden van mensenrechten, inclusief de repressie van vredevolle demonstranten, uitdrukken van diepe bezorgdheid over de doden van burgers en weigeren van de aanzet to vijandigheid en geweld tegen de burgerpopulatie door het hoogste level van de Libische overheid.</w:t>
      </w:r>
    </w:p>
    <w:p w:rsidR="00704A92" w:rsidRDefault="00704A92" w:rsidP="00331B44">
      <w:pPr>
        <w:pStyle w:val="ListParagraph"/>
        <w:numPr>
          <w:ilvl w:val="0"/>
          <w:numId w:val="8"/>
        </w:numPr>
      </w:pPr>
      <w:r>
        <w:t>Het verwelkomen van de veroordeling door de Arabische liga, de Afrikaanse Unie en de Secretaris-generaal van de Organization of the Islamic Conference van de serieuze schendingen van mensenrechten en internationale humanitaire wetten die gepleegd zijn in de Libische Arab Jamahiriya</w:t>
      </w:r>
    </w:p>
    <w:p w:rsidR="00704A92" w:rsidRDefault="00704A92" w:rsidP="00331B44">
      <w:pPr>
        <w:pStyle w:val="ListParagraph"/>
        <w:numPr>
          <w:ilvl w:val="0"/>
          <w:numId w:val="8"/>
        </w:numPr>
      </w:pPr>
      <w:r>
        <w:t>Nota nemen van de brief naar de president van de VR van de permanente vertegenwoordiger van de Libische Arab Jamahiriya(februari 2011)</w:t>
      </w:r>
    </w:p>
    <w:p w:rsidR="00704A92" w:rsidRDefault="00704A92" w:rsidP="00331B44">
      <w:pPr>
        <w:pStyle w:val="ListParagraph"/>
        <w:numPr>
          <w:ilvl w:val="0"/>
          <w:numId w:val="8"/>
        </w:numPr>
      </w:pPr>
      <w:r>
        <w:t>Verwelkomen van de Mensenrechtenraad resolutie van februari 2011, inclusief de beslissing om snel een onafhankelijke internationale commissie van overleg weg te sturen om alle schendingen van mensenrechten wetten in de Libische Arab Jamahiriya te onderzoeken, om de feiten en omstandigheden van zulke geweldplegingen en de misdaden gepleegd vast te stellen en als het mogelijk is de verantwoordelijken identificeren.</w:t>
      </w:r>
    </w:p>
    <w:p w:rsidR="00704A92" w:rsidRDefault="00704A92" w:rsidP="00331B44">
      <w:pPr>
        <w:pStyle w:val="ListParagraph"/>
        <w:numPr>
          <w:ilvl w:val="0"/>
          <w:numId w:val="8"/>
        </w:numPr>
      </w:pPr>
      <w:r>
        <w:t>Overwegen dat de wijd verspreide en systematische aanvallen die nu in Libië plaatsvinden tegen de burgerpopulatie wel eens misdaden tegen de menselijkheid kunnen zijn</w:t>
      </w:r>
    </w:p>
    <w:p w:rsidR="00704A92" w:rsidRDefault="00704A92" w:rsidP="00331B44">
      <w:pPr>
        <w:pStyle w:val="ListParagraph"/>
        <w:numPr>
          <w:ilvl w:val="0"/>
          <w:numId w:val="8"/>
        </w:numPr>
      </w:pPr>
      <w:r>
        <w:t>Bezorgdheid tonen voor de vluchtelingen die verplicht zijn het geweld te ontvluchten</w:t>
      </w:r>
    </w:p>
    <w:p w:rsidR="00704A92" w:rsidRDefault="00704A92" w:rsidP="00331B44">
      <w:pPr>
        <w:pStyle w:val="ListParagraph"/>
        <w:numPr>
          <w:ilvl w:val="0"/>
          <w:numId w:val="8"/>
        </w:numPr>
      </w:pPr>
      <w:r>
        <w:t>Bezorgdheid tonen voor de tekorten aan medische voorzieningen om de gewonden te behandelen</w:t>
      </w:r>
    </w:p>
    <w:p w:rsidR="00704A92" w:rsidRDefault="00704A92" w:rsidP="00331B44">
      <w:pPr>
        <w:pStyle w:val="ListParagraph"/>
        <w:numPr>
          <w:ilvl w:val="0"/>
          <w:numId w:val="8"/>
        </w:numPr>
      </w:pPr>
      <w:r>
        <w:t>De Libische autoriteiten opnieuw oproepen om zijn volk te beschermen</w:t>
      </w:r>
    </w:p>
    <w:p w:rsidR="00704A92" w:rsidRDefault="00704A92" w:rsidP="00331B44">
      <w:pPr>
        <w:pStyle w:val="ListParagraph"/>
        <w:numPr>
          <w:ilvl w:val="0"/>
          <w:numId w:val="8"/>
        </w:numPr>
      </w:pPr>
      <w:r>
        <w:t>De nood voor respect voor vrijheden van een vredevolle raad en van expressie, inclusief vrijheid van de media onderlijnen</w:t>
      </w:r>
    </w:p>
    <w:p w:rsidR="00704A92" w:rsidRDefault="00704A92" w:rsidP="00331B44">
      <w:pPr>
        <w:pStyle w:val="ListParagraph"/>
        <w:numPr>
          <w:ilvl w:val="0"/>
          <w:numId w:val="8"/>
        </w:numPr>
      </w:pPr>
      <w:r>
        <w:t>De nood om rekening te houden met zij die verantwoordelijk zijn voor aanvallen, inclusief door krachten onder hun controle, tegen burgers benadrukken</w:t>
      </w:r>
    </w:p>
    <w:p w:rsidR="00704A92" w:rsidRDefault="00704A92" w:rsidP="00331B44">
      <w:pPr>
        <w:pStyle w:val="ListParagraph"/>
        <w:numPr>
          <w:ilvl w:val="0"/>
          <w:numId w:val="8"/>
        </w:numPr>
      </w:pPr>
      <w:r>
        <w:t>Het artikel van het statuut van Rome waaronder geen onderzoek of vervolging mag gebeuren door het Internationaal gerechtshof voor een periode van 12 maanden nadat de VR hier aanvraag naar heeft gedaan terug oproepen</w:t>
      </w:r>
    </w:p>
    <w:p w:rsidR="00704A92" w:rsidRDefault="00704A92" w:rsidP="00331B44">
      <w:pPr>
        <w:pStyle w:val="ListParagraph"/>
        <w:numPr>
          <w:ilvl w:val="0"/>
          <w:numId w:val="8"/>
        </w:numPr>
      </w:pPr>
      <w:r>
        <w:t>De bezorgdheid uitdrukken voor de veiligheid van buitenlandse onderdanen en hun rechten in de Libische Arab Jamahiriya</w:t>
      </w:r>
    </w:p>
    <w:p w:rsidR="00704A92" w:rsidRDefault="00704A92" w:rsidP="00331B44">
      <w:pPr>
        <w:pStyle w:val="ListParagraph"/>
        <w:numPr>
          <w:ilvl w:val="0"/>
          <w:numId w:val="8"/>
        </w:numPr>
      </w:pPr>
      <w:r>
        <w:t xml:space="preserve">Het opnieuw bevestigen van zijn sterke toewijding aan soevereiniteit, onafhankelijkheid, territoriale integriteit en nationale eenheid van Libië </w:t>
      </w:r>
    </w:p>
    <w:p w:rsidR="00704A92" w:rsidRDefault="00704A92" w:rsidP="00331B44">
      <w:pPr>
        <w:pStyle w:val="ListParagraph"/>
        <w:numPr>
          <w:ilvl w:val="0"/>
          <w:numId w:val="8"/>
        </w:numPr>
      </w:pPr>
      <w:r>
        <w:t>In achtneming van zijn eerste verantwoordelijkheid voor het behoud van internationale vrede en veiligheid</w:t>
      </w:r>
    </w:p>
    <w:p w:rsidR="00704A92" w:rsidRDefault="00704A92" w:rsidP="00331B44">
      <w:pPr>
        <w:pStyle w:val="ListParagraph"/>
        <w:numPr>
          <w:ilvl w:val="0"/>
          <w:numId w:val="8"/>
        </w:numPr>
      </w:pPr>
      <w:r>
        <w:t>Reageren volgens H8 van de oorkonde van de VN</w:t>
      </w:r>
    </w:p>
    <w:p w:rsidR="00704A92" w:rsidRDefault="00704A92" w:rsidP="00331B44">
      <w:pPr>
        <w:pStyle w:val="ListParagraph"/>
        <w:numPr>
          <w:ilvl w:val="0"/>
          <w:numId w:val="9"/>
        </w:numPr>
      </w:pPr>
      <w:r>
        <w:t>Een onmiddellijk einde van het geweld eisen en oproepen tot stappen om de wettelijke eisen van de bevolking te vervullen</w:t>
      </w:r>
    </w:p>
    <w:p w:rsidR="00704A92" w:rsidRDefault="00704A92" w:rsidP="00331B44">
      <w:pPr>
        <w:pStyle w:val="ListParagraph"/>
        <w:numPr>
          <w:ilvl w:val="0"/>
          <w:numId w:val="9"/>
        </w:numPr>
      </w:pPr>
      <w:r>
        <w:t>Dwingt de Libische autoriteiten tot:</w:t>
      </w:r>
    </w:p>
    <w:p w:rsidR="00704A92" w:rsidRDefault="00704A92" w:rsidP="00331B44">
      <w:pPr>
        <w:pStyle w:val="ListParagraph"/>
        <w:numPr>
          <w:ilvl w:val="0"/>
          <w:numId w:val="10"/>
        </w:numPr>
      </w:pPr>
      <w:r>
        <w:t>Reageren met uiterste beheersing, respect voor mensenrechten en internationale humanitaire wetten en onmiddellijke toegang voor internationale mensenrechten monitoren toestaan</w:t>
      </w:r>
    </w:p>
    <w:p w:rsidR="00704A92" w:rsidRDefault="00704A92" w:rsidP="00331B44">
      <w:pPr>
        <w:pStyle w:val="ListParagraph"/>
        <w:numPr>
          <w:ilvl w:val="0"/>
          <w:numId w:val="10"/>
        </w:numPr>
      </w:pPr>
      <w:r>
        <w:t>Veiligheid van alle buitenlandse onderdanen en hun bezittingen verzekeren en het vertrek van hen die het lande willen verlaten vergemakkelijken</w:t>
      </w:r>
    </w:p>
    <w:p w:rsidR="00704A92" w:rsidRDefault="00704A92" w:rsidP="00331B44">
      <w:pPr>
        <w:pStyle w:val="ListParagraph"/>
        <w:numPr>
          <w:ilvl w:val="0"/>
          <w:numId w:val="10"/>
        </w:numPr>
      </w:pPr>
      <w:r>
        <w:t>De veilige doorgang van humanitaire en medische voorzieningen en humanitaire agentschappen en werkers verzekeren</w:t>
      </w:r>
    </w:p>
    <w:p w:rsidR="00704A92" w:rsidRDefault="00704A92" w:rsidP="00331B44">
      <w:pPr>
        <w:pStyle w:val="ListParagraph"/>
        <w:numPr>
          <w:ilvl w:val="0"/>
          <w:numId w:val="10"/>
        </w:numPr>
      </w:pPr>
      <w:r>
        <w:t>De beperkingen van elke vorm van media opheffen</w:t>
      </w:r>
    </w:p>
    <w:p w:rsidR="00704A92" w:rsidRDefault="00704A92" w:rsidP="00331B44">
      <w:pPr>
        <w:pStyle w:val="ListParagraph"/>
        <w:numPr>
          <w:ilvl w:val="0"/>
          <w:numId w:val="11"/>
        </w:numPr>
      </w:pPr>
      <w:r>
        <w:t>Alle lidstaten vragen om mee te werken in de evacuatie van de buitenlandse onderdanen die het land willen verlaten</w:t>
      </w:r>
    </w:p>
    <w:p w:rsidR="00704A92" w:rsidRDefault="00704A92" w:rsidP="00331B44">
      <w:pPr>
        <w:ind w:left="708"/>
        <w:rPr>
          <w:b/>
        </w:rPr>
      </w:pPr>
      <w:r>
        <w:rPr>
          <w:b/>
        </w:rPr>
        <w:t>ICC verwijzing</w:t>
      </w:r>
    </w:p>
    <w:p w:rsidR="00704A92" w:rsidRPr="00DC6378" w:rsidRDefault="00704A92" w:rsidP="00331B44">
      <w:pPr>
        <w:pStyle w:val="ListParagraph"/>
        <w:numPr>
          <w:ilvl w:val="0"/>
          <w:numId w:val="11"/>
        </w:numPr>
        <w:rPr>
          <w:b/>
        </w:rPr>
      </w:pPr>
      <w:r>
        <w:t>Besluit om de situatie in Libië door te verwijzen naar de Prosecutor van het internationaal gerechtshof</w:t>
      </w:r>
    </w:p>
    <w:p w:rsidR="00704A92" w:rsidRPr="00657642" w:rsidRDefault="00704A92" w:rsidP="00331B44">
      <w:pPr>
        <w:pStyle w:val="ListParagraph"/>
        <w:numPr>
          <w:ilvl w:val="0"/>
          <w:numId w:val="11"/>
        </w:numPr>
        <w:rPr>
          <w:b/>
        </w:rPr>
      </w:pPr>
      <w:r>
        <w:t>Besluit dat de Libische autoriteiten volledig zullen meewerken en assistentie zullen voorzien aan het gerecht en de aanklager en eist dat alle staten en betrokken regionale en andere internationale organisaties volledig meewerken met het gerecht en de aanklager</w:t>
      </w:r>
    </w:p>
    <w:p w:rsidR="00704A92" w:rsidRPr="00657642" w:rsidRDefault="00704A92" w:rsidP="00331B44">
      <w:pPr>
        <w:pStyle w:val="ListParagraph"/>
        <w:numPr>
          <w:ilvl w:val="0"/>
          <w:numId w:val="11"/>
        </w:numPr>
        <w:rPr>
          <w:b/>
        </w:rPr>
      </w:pPr>
      <w:r>
        <w:t>Besluit dat onderdanen, huidige of vorige officiëlen of personeel van een staat buiten Libië die geen deel van het statuut van Rome of het internationaal gerechtshof is, onderworpen zullen worden aan de exclusieve jurisdictie van die staat voor alle acties of nalatigheden die uit hun operaties in Libië voorkomen of eraan gerelateerd zijn en geautoriseerd door de VR, tenzij die jurisdictie geweigerd wordt door de staat.</w:t>
      </w:r>
    </w:p>
    <w:p w:rsidR="00704A92" w:rsidRPr="00657642" w:rsidRDefault="00704A92" w:rsidP="00331B44">
      <w:pPr>
        <w:pStyle w:val="ListParagraph"/>
        <w:numPr>
          <w:ilvl w:val="0"/>
          <w:numId w:val="11"/>
        </w:numPr>
        <w:rPr>
          <w:b/>
        </w:rPr>
      </w:pPr>
      <w:r>
        <w:t>Nodigt de aanklager uit om de VR te adresseren binnen de 2 maanden over de adoptie van zijn resolutie en elke 6 maanden daarna over actie die genomen zijn om deze resolutie te bereiken</w:t>
      </w:r>
    </w:p>
    <w:p w:rsidR="00704A92" w:rsidRPr="00657642" w:rsidRDefault="00704A92" w:rsidP="00331B44">
      <w:pPr>
        <w:pStyle w:val="ListParagraph"/>
        <w:numPr>
          <w:ilvl w:val="0"/>
          <w:numId w:val="11"/>
        </w:numPr>
        <w:rPr>
          <w:b/>
        </w:rPr>
      </w:pPr>
      <w:r>
        <w:t>Erkent dat geen van de uitgaven opgelopen in verband met de verwijzing, inclusief uitgaven gerelateerd aan onderzoeken en vervolgingen, door de VN zal gedragen worden en dat deze kosten gedragen worden door de partijen van het statuut van Rome en die staten die vrijwillig willen bijdragen</w:t>
      </w:r>
    </w:p>
    <w:p w:rsidR="00704A92" w:rsidRDefault="00704A92" w:rsidP="00331B44">
      <w:pPr>
        <w:ind w:left="708"/>
        <w:rPr>
          <w:b/>
        </w:rPr>
      </w:pPr>
      <w:r>
        <w:rPr>
          <w:b/>
        </w:rPr>
        <w:t>Wapenembargo</w:t>
      </w:r>
    </w:p>
    <w:p w:rsidR="00704A92" w:rsidRPr="00657642" w:rsidRDefault="00704A92" w:rsidP="00331B44">
      <w:pPr>
        <w:pStyle w:val="ListParagraph"/>
        <w:numPr>
          <w:ilvl w:val="0"/>
          <w:numId w:val="12"/>
        </w:numPr>
        <w:rPr>
          <w:b/>
        </w:rPr>
      </w:pPr>
      <w:r>
        <w:t>Beslist dat alle lidstaten onmiddellijk de nodige acties zullen ondernemen om directe of indirecte voorraad, verkoop of overdracht door of van hun grondgebied of door hun onderdanen naar Libië of het gebruiken van hun luchtmacht of vaartuigen  of wapens  of technische assistentie, e.a. te voorkomen</w:t>
      </w:r>
    </w:p>
    <w:p w:rsidR="00704A92" w:rsidRPr="00C5077B" w:rsidRDefault="00704A92" w:rsidP="00331B44">
      <w:pPr>
        <w:pStyle w:val="ListParagraph"/>
        <w:numPr>
          <w:ilvl w:val="0"/>
          <w:numId w:val="13"/>
        </w:numPr>
        <w:rPr>
          <w:b/>
        </w:rPr>
      </w:pPr>
      <w:r>
        <w:t>Voorziet van niet-dodelijk militair materiaal dat enkel bedoeld is voor humanitaire of beschermend gebruik en gerelateerde technische hulp of training, op voorhand goedgekeurd door het Comité</w:t>
      </w:r>
    </w:p>
    <w:p w:rsidR="00704A92" w:rsidRPr="00C5077B" w:rsidRDefault="00704A92" w:rsidP="00331B44">
      <w:pPr>
        <w:pStyle w:val="ListParagraph"/>
        <w:numPr>
          <w:ilvl w:val="0"/>
          <w:numId w:val="13"/>
        </w:numPr>
        <w:rPr>
          <w:b/>
        </w:rPr>
      </w:pPr>
      <w:r>
        <w:t>Beschermende kledij geëxporteerd naar Libië door de VN e.a.</w:t>
      </w:r>
    </w:p>
    <w:p w:rsidR="00704A92" w:rsidRPr="00C5077B" w:rsidRDefault="00704A92" w:rsidP="00331B44">
      <w:pPr>
        <w:pStyle w:val="ListParagraph"/>
        <w:numPr>
          <w:ilvl w:val="0"/>
          <w:numId w:val="13"/>
        </w:numPr>
        <w:rPr>
          <w:b/>
        </w:rPr>
      </w:pPr>
      <w:r>
        <w:t>Andere verkopen of voorziening van wapens en gerelateerd materiaal of voorzien van bijstand, op voorhand goedgekeurd door het comité</w:t>
      </w:r>
    </w:p>
    <w:p w:rsidR="00704A92" w:rsidRPr="00C5077B" w:rsidRDefault="00704A92" w:rsidP="00331B44">
      <w:pPr>
        <w:pStyle w:val="ListParagraph"/>
        <w:numPr>
          <w:ilvl w:val="0"/>
          <w:numId w:val="12"/>
        </w:numPr>
        <w:rPr>
          <w:b/>
        </w:rPr>
      </w:pPr>
      <w:r>
        <w:t xml:space="preserve">Besluit dat Libië de export van alle wapens en gerelateerd materiaal zal staken en dat alle lidstaten het verschaffen van zulk materiaal door hun onderdanen zal verhinderen </w:t>
      </w:r>
    </w:p>
    <w:p w:rsidR="00704A92" w:rsidRPr="00C5077B" w:rsidRDefault="00704A92" w:rsidP="00331B44">
      <w:pPr>
        <w:pStyle w:val="ListParagraph"/>
        <w:numPr>
          <w:ilvl w:val="0"/>
          <w:numId w:val="12"/>
        </w:numPr>
        <w:rPr>
          <w:b/>
        </w:rPr>
      </w:pPr>
      <w:r>
        <w:t>Roept steun op van alle staten, vooral de buurlanden, om de zeewet en relevante internationale burgerlijke luchtvaart overeenkomsten te inspecteren die van en naar Libië gaan als de staat informatie heeft die gegronde redenen heeft om te geloven dat het voertuig export of importproducten bijheeft</w:t>
      </w:r>
    </w:p>
    <w:p w:rsidR="00704A92" w:rsidRPr="00C5077B" w:rsidRDefault="00704A92" w:rsidP="00331B44">
      <w:pPr>
        <w:pStyle w:val="ListParagraph"/>
        <w:numPr>
          <w:ilvl w:val="0"/>
          <w:numId w:val="12"/>
        </w:numPr>
        <w:rPr>
          <w:b/>
        </w:rPr>
      </w:pPr>
      <w:r>
        <w:t>Beslist om alles lidstaten te autoriseren om bij het ontdekken van de verboden items zich van de hand te doen van deze zaken en elke staat moet ook meewerken bij deze inspanningen.</w:t>
      </w:r>
    </w:p>
    <w:p w:rsidR="00704A92" w:rsidRPr="007150F4" w:rsidRDefault="00704A92" w:rsidP="00331B44">
      <w:pPr>
        <w:pStyle w:val="ListParagraph"/>
        <w:numPr>
          <w:ilvl w:val="0"/>
          <w:numId w:val="12"/>
        </w:numPr>
        <w:rPr>
          <w:b/>
        </w:rPr>
      </w:pPr>
      <w:r>
        <w:t>Elke lidstaat moet wanneer het een inspectie onderneemt (par 11) een geschreven rapport aan het comité geven met de reden voor de inspectie, resultaten en of er coöperatie was. Indien er zulke items gevonden zijn moet de lidstaat op later tijdstip een ander rapport binnenbrengen met de details, als deze niet in het initiële rapport zit</w:t>
      </w:r>
    </w:p>
    <w:p w:rsidR="00704A92" w:rsidRPr="007150F4" w:rsidRDefault="00704A92" w:rsidP="00331B44">
      <w:pPr>
        <w:pStyle w:val="ListParagraph"/>
        <w:numPr>
          <w:ilvl w:val="0"/>
          <w:numId w:val="12"/>
        </w:numPr>
        <w:rPr>
          <w:b/>
        </w:rPr>
      </w:pPr>
      <w:r>
        <w:t>Moedigt lidstaten aan om stappen te ondernemen om hun inwoners af te raden om naar Libië te reizen om aan activiteiten deel te nemen van Libische Autoriteit uit die kunnen bijdragen aan het schaden van mensenrechten.</w:t>
      </w:r>
    </w:p>
    <w:p w:rsidR="00704A92" w:rsidRDefault="00704A92" w:rsidP="00331B44">
      <w:pPr>
        <w:ind w:left="1068"/>
        <w:rPr>
          <w:b/>
        </w:rPr>
      </w:pPr>
      <w:r>
        <w:rPr>
          <w:b/>
        </w:rPr>
        <w:t>Reisbanning</w:t>
      </w:r>
    </w:p>
    <w:p w:rsidR="00704A92" w:rsidRPr="000253E9" w:rsidRDefault="00704A92" w:rsidP="00331B44">
      <w:pPr>
        <w:pStyle w:val="ListParagraph"/>
        <w:numPr>
          <w:ilvl w:val="0"/>
          <w:numId w:val="14"/>
        </w:numPr>
        <w:rPr>
          <w:b/>
        </w:rPr>
      </w:pPr>
      <w:r>
        <w:t>Beslist dat alle lidstaten de nodige maatregelen zal nemen om het binnengaan of de doortocht door hun gebied te verhinderen</w:t>
      </w:r>
    </w:p>
    <w:p w:rsidR="00704A92" w:rsidRPr="000253E9" w:rsidRDefault="00704A92" w:rsidP="00331B44">
      <w:pPr>
        <w:pStyle w:val="ListParagraph"/>
        <w:numPr>
          <w:ilvl w:val="0"/>
          <w:numId w:val="14"/>
        </w:numPr>
        <w:rPr>
          <w:b/>
        </w:rPr>
      </w:pPr>
      <w:r>
        <w:t>Beslist dat de maatregelen van de vorige paragraaf niet gelden indien:</w:t>
      </w:r>
    </w:p>
    <w:p w:rsidR="00704A92" w:rsidRPr="000253E9" w:rsidRDefault="00704A92" w:rsidP="00331B44">
      <w:pPr>
        <w:pStyle w:val="ListParagraph"/>
        <w:numPr>
          <w:ilvl w:val="0"/>
          <w:numId w:val="15"/>
        </w:numPr>
        <w:rPr>
          <w:b/>
        </w:rPr>
      </w:pPr>
      <w:r>
        <w:t>Als het comité bepaalt dat de reis gerechtigd is of grond van humanitaire nood, inclusief religieuze verplichtingen</w:t>
      </w:r>
    </w:p>
    <w:p w:rsidR="00704A92" w:rsidRPr="000253E9" w:rsidRDefault="00704A92" w:rsidP="00331B44">
      <w:pPr>
        <w:pStyle w:val="ListParagraph"/>
        <w:numPr>
          <w:ilvl w:val="0"/>
          <w:numId w:val="15"/>
        </w:numPr>
        <w:rPr>
          <w:b/>
        </w:rPr>
      </w:pPr>
      <w:r>
        <w:t>Waar doorgang of doortocht nodig is voor het volbrengen van het juridische proces</w:t>
      </w:r>
    </w:p>
    <w:p w:rsidR="00704A92" w:rsidRPr="000253E9" w:rsidRDefault="00704A92" w:rsidP="00331B44">
      <w:pPr>
        <w:pStyle w:val="ListParagraph"/>
        <w:numPr>
          <w:ilvl w:val="0"/>
          <w:numId w:val="15"/>
        </w:numPr>
        <w:rPr>
          <w:b/>
        </w:rPr>
      </w:pPr>
      <w:r>
        <w:t>Als het comité bepaalt dat dit de objectieven van vrede en nationale verzoening in Libië en stabiliteit in de regio kan helpen</w:t>
      </w:r>
    </w:p>
    <w:p w:rsidR="00704A92" w:rsidRPr="000253E9" w:rsidRDefault="00704A92" w:rsidP="00331B44">
      <w:pPr>
        <w:pStyle w:val="ListParagraph"/>
        <w:numPr>
          <w:ilvl w:val="0"/>
          <w:numId w:val="15"/>
        </w:numPr>
        <w:rPr>
          <w:b/>
        </w:rPr>
      </w:pPr>
      <w:r>
        <w:t>Als de staat bepaalt dat dit nodig is om vrede en stabiliteit in Libië vooruit te helpen en de staat verwittigd het comité binnen de 48 uur</w:t>
      </w:r>
    </w:p>
    <w:p w:rsidR="00704A92" w:rsidRDefault="00704A92" w:rsidP="00331B44">
      <w:pPr>
        <w:ind w:left="708"/>
        <w:rPr>
          <w:b/>
        </w:rPr>
      </w:pPr>
      <w:r>
        <w:rPr>
          <w:b/>
        </w:rPr>
        <w:t>Activa bevriezing</w:t>
      </w:r>
    </w:p>
    <w:p w:rsidR="00704A92" w:rsidRDefault="00704A92" w:rsidP="00331B44">
      <w:pPr>
        <w:pStyle w:val="ListParagraph"/>
        <w:numPr>
          <w:ilvl w:val="0"/>
          <w:numId w:val="16"/>
        </w:numPr>
      </w:pPr>
      <w:r>
        <w:t>Beslist dat alle lidstaten zonder vertraging van fondsen al hun andere financiële activa en economische bronnen die zich op hun territorium bevinden, die gecontroleerd of eigendom zijn van individuen van Annex 2 van deze resolutie en dergelijke bevriezen. Alle lidstaten moeten ook verzekeren dat elk fonds, financieel activa of economische bronnen niet beschikbaar gemaakt worden aan  of ten voordele van individuen of entiteiten in Annex 2 van deze resolutie of individuen aangewezen door het comité</w:t>
      </w:r>
    </w:p>
    <w:p w:rsidR="00704A92" w:rsidRDefault="00704A92" w:rsidP="00331B44">
      <w:pPr>
        <w:pStyle w:val="ListParagraph"/>
        <w:numPr>
          <w:ilvl w:val="0"/>
          <w:numId w:val="16"/>
        </w:numPr>
      </w:pPr>
      <w:r>
        <w:t>Uit zijn intentie om te verzekeren dat activa die bevroren zijn later weer beschikbaar gemaakt kunnen worden ten voordele van de Libische bevolking</w:t>
      </w:r>
    </w:p>
    <w:p w:rsidR="00704A92" w:rsidRDefault="00704A92" w:rsidP="00331B44">
      <w:pPr>
        <w:pStyle w:val="ListParagraph"/>
        <w:numPr>
          <w:ilvl w:val="0"/>
          <w:numId w:val="16"/>
        </w:numPr>
      </w:pPr>
      <w:r>
        <w:t>Beslist dat maatregelen opgelegd in de 1</w:t>
      </w:r>
      <w:r w:rsidRPr="00E01020">
        <w:rPr>
          <w:vertAlign w:val="superscript"/>
        </w:rPr>
        <w:t>e</w:t>
      </w:r>
      <w:r>
        <w:t xml:space="preserve"> paragraaf van dit stukje niet gelden voor fondsen, andere financiële activa of economische bronnen die bepaald zijn door relevante lidstaten</w:t>
      </w:r>
    </w:p>
    <w:p w:rsidR="00704A92" w:rsidRDefault="00704A92" w:rsidP="00331B44">
      <w:pPr>
        <w:pStyle w:val="ListParagraph"/>
        <w:numPr>
          <w:ilvl w:val="0"/>
          <w:numId w:val="17"/>
        </w:numPr>
      </w:pPr>
      <w:r>
        <w:t>Nodig zijn voor basisuitgaven na notificatie van het comité die als het gepast is, toegang autoriseert, en indien er geen negatieve beslissing valt binnen 5 werkdagen is er ook toegang tot het fonds</w:t>
      </w:r>
    </w:p>
    <w:p w:rsidR="00704A92" w:rsidRDefault="00704A92" w:rsidP="00331B44">
      <w:pPr>
        <w:pStyle w:val="ListParagraph"/>
        <w:numPr>
          <w:ilvl w:val="0"/>
          <w:numId w:val="17"/>
        </w:numPr>
      </w:pPr>
      <w:r>
        <w:t>Nodig voor buitengewone uitgaven, als dit gemeld is aan het comité en goedgekeurd is</w:t>
      </w:r>
    </w:p>
    <w:p w:rsidR="00704A92" w:rsidRDefault="00704A92" w:rsidP="00331B44">
      <w:pPr>
        <w:pStyle w:val="ListParagraph"/>
        <w:numPr>
          <w:ilvl w:val="0"/>
          <w:numId w:val="17"/>
        </w:numPr>
      </w:pPr>
      <w:r>
        <w:t>Als het onderwerp is van een juridische, administratieve of arbitraire veroordeling of pandrecht, dan mag het fonds e.d. gebruikt worden om de veroordeling of pandrecht te voldoen als de veroordeling of pandrecht, voor de datum van de resolutie, niet ten voordele van een persoon of entiteit is zoals aangewezen in de 1</w:t>
      </w:r>
      <w:r w:rsidRPr="00E01020">
        <w:rPr>
          <w:vertAlign w:val="superscript"/>
        </w:rPr>
        <w:t>e</w:t>
      </w:r>
      <w:r>
        <w:t xml:space="preserve"> paragraaf van dit stukje en gemeld is aan het comité</w:t>
      </w:r>
    </w:p>
    <w:p w:rsidR="00704A92" w:rsidRDefault="00704A92" w:rsidP="00331B44">
      <w:pPr>
        <w:pStyle w:val="ListParagraph"/>
        <w:numPr>
          <w:ilvl w:val="0"/>
          <w:numId w:val="18"/>
        </w:numPr>
      </w:pPr>
      <w:r>
        <w:t>Beslist dat lidstaten de toegang tot bevroren accounts mogen toestaan overeenkomstig met de bepaling van de eerste paragraaf van dit stukje voor intrest of andere winsten door deze accounts of betalingen verplicht door contracten, overeenkomsten of verplichtingen die voor de datum van bevriezing zijn ontstaan. De gewonnen interesten of andere winsten blijven wel ook bevroren</w:t>
      </w:r>
    </w:p>
    <w:p w:rsidR="00704A92" w:rsidRDefault="00704A92" w:rsidP="00331B44">
      <w:pPr>
        <w:pStyle w:val="ListParagraph"/>
        <w:numPr>
          <w:ilvl w:val="0"/>
          <w:numId w:val="18"/>
        </w:numPr>
      </w:pPr>
      <w:r>
        <w:t>Beslist dat de maatregelen van de eerste paragraaf een aangewezen persoon of entiteit niet zal verhinderen van het maken van betalingen verplicht door een contract dat geldig is van voor de persoon of entiteit op de lijst kwam, enkel indien de staat bepaald heeft dat de betaling niet direct of indirect ontvangen wordt door een persoon of entiteit bedoeld in de eerste paragraaf en na verwittiging( 10 dagen op voorhand) van het comité van de intentie zodat deze dat kan autoriseren.</w:t>
      </w:r>
    </w:p>
    <w:p w:rsidR="00704A92" w:rsidRDefault="00704A92" w:rsidP="00331B44">
      <w:pPr>
        <w:ind w:left="708"/>
        <w:rPr>
          <w:b/>
        </w:rPr>
      </w:pPr>
      <w:r>
        <w:rPr>
          <w:b/>
        </w:rPr>
        <w:t>Aanwijzing criteria</w:t>
      </w:r>
    </w:p>
    <w:p w:rsidR="00704A92" w:rsidRDefault="00704A92" w:rsidP="00331B44">
      <w:pPr>
        <w:pStyle w:val="ListParagraph"/>
        <w:numPr>
          <w:ilvl w:val="0"/>
          <w:numId w:val="19"/>
        </w:numPr>
      </w:pPr>
      <w:r>
        <w:t>Beslist dat de maatregelen van vorige paragrafen gelden voor individuen en entiteiten aangeduid door het comité en</w:t>
      </w:r>
    </w:p>
    <w:p w:rsidR="00704A92" w:rsidRDefault="00704A92" w:rsidP="00331B44">
      <w:pPr>
        <w:pStyle w:val="ListParagraph"/>
        <w:numPr>
          <w:ilvl w:val="0"/>
          <w:numId w:val="20"/>
        </w:numPr>
      </w:pPr>
      <w:r>
        <w:t>Betrokkenen bij het ordenen, controleren van serieuze mensenrechten misbruik tegen personen in Libië, inclusief betrekken bij het plannen, commanderen van aanvallen die de internationale wet breken</w:t>
      </w:r>
    </w:p>
    <w:p w:rsidR="00704A92" w:rsidRDefault="00704A92" w:rsidP="00331B44">
      <w:pPr>
        <w:pStyle w:val="ListParagraph"/>
        <w:numPr>
          <w:ilvl w:val="0"/>
          <w:numId w:val="20"/>
        </w:numPr>
      </w:pPr>
      <w:r>
        <w:t>Reageren voor of in naam van of in de richting van individuen of entiteiten van par 1</w:t>
      </w:r>
    </w:p>
    <w:p w:rsidR="00704A92" w:rsidRDefault="00704A92" w:rsidP="00331B44">
      <w:pPr>
        <w:pStyle w:val="ListParagraph"/>
        <w:numPr>
          <w:ilvl w:val="0"/>
          <w:numId w:val="19"/>
        </w:numPr>
      </w:pPr>
      <w:r>
        <w:t>Beslist om een comité van de VR op te richten dat bestaat uit alle leden van de VR om de volgende taken te doen:</w:t>
      </w:r>
    </w:p>
    <w:p w:rsidR="00704A92" w:rsidRDefault="00704A92" w:rsidP="00331B44">
      <w:pPr>
        <w:pStyle w:val="ListParagraph"/>
        <w:numPr>
          <w:ilvl w:val="0"/>
          <w:numId w:val="21"/>
        </w:numPr>
      </w:pPr>
      <w:r>
        <w:t>Monitoren van implementatie van de maatregelen</w:t>
      </w:r>
    </w:p>
    <w:p w:rsidR="00704A92" w:rsidRDefault="00704A92" w:rsidP="00331B44">
      <w:pPr>
        <w:pStyle w:val="ListParagraph"/>
        <w:numPr>
          <w:ilvl w:val="0"/>
          <w:numId w:val="21"/>
        </w:numPr>
      </w:pPr>
      <w:r>
        <w:t>Individuen aanwijzen die onderwerp zijn van de maatregelen en aanvragen voor vrijstelling in overweging te nemen</w:t>
      </w:r>
    </w:p>
    <w:p w:rsidR="00704A92" w:rsidRDefault="00704A92" w:rsidP="00331B44">
      <w:pPr>
        <w:pStyle w:val="ListParagraph"/>
        <w:numPr>
          <w:ilvl w:val="0"/>
          <w:numId w:val="21"/>
        </w:numPr>
      </w:pPr>
      <w:r>
        <w:t>Richtlijnen opstellen als dit de implementatie kan vergemakkelijken</w:t>
      </w:r>
    </w:p>
    <w:p w:rsidR="00704A92" w:rsidRDefault="00704A92" w:rsidP="00331B44">
      <w:pPr>
        <w:pStyle w:val="ListParagraph"/>
        <w:numPr>
          <w:ilvl w:val="0"/>
          <w:numId w:val="21"/>
        </w:numPr>
      </w:pPr>
      <w:r>
        <w:t>Rapporteren binnen de 30 dagen aan de VR over het werk voor het eerste rapport en daarna rapporteren als het nodig is</w:t>
      </w:r>
    </w:p>
    <w:p w:rsidR="00704A92" w:rsidRDefault="00704A92" w:rsidP="00331B44">
      <w:pPr>
        <w:pStyle w:val="ListParagraph"/>
        <w:numPr>
          <w:ilvl w:val="0"/>
          <w:numId w:val="21"/>
        </w:numPr>
      </w:pPr>
      <w:r>
        <w:t>Een dialoog aan te moedigen tussen het comité en de geïnteresseerde lidstaten, vooral die in de regio, inclusief door het uitnodigen van vertegenwoordigers om met  implementatie van maatregelen te bespreken</w:t>
      </w:r>
    </w:p>
    <w:p w:rsidR="00704A92" w:rsidRDefault="00704A92" w:rsidP="00331B44">
      <w:pPr>
        <w:pStyle w:val="ListParagraph"/>
        <w:numPr>
          <w:ilvl w:val="0"/>
          <w:numId w:val="21"/>
        </w:numPr>
      </w:pPr>
      <w:r>
        <w:t>Informatie van alle staten zoeken die relevant kan zijn in verband met ondernomen acties om de maatregelen te implementeren</w:t>
      </w:r>
    </w:p>
    <w:p w:rsidR="00704A92" w:rsidRDefault="00704A92" w:rsidP="00331B44">
      <w:pPr>
        <w:pStyle w:val="ListParagraph"/>
        <w:numPr>
          <w:ilvl w:val="0"/>
          <w:numId w:val="21"/>
        </w:numPr>
      </w:pPr>
      <w:r>
        <w:t>Informatie te onderzoeken en gepast actie te nemen wat betreft beweerde overtredingen van niet-volgzaamheid met de maatregelen</w:t>
      </w:r>
    </w:p>
    <w:p w:rsidR="00704A92" w:rsidRDefault="00704A92" w:rsidP="00331B44">
      <w:pPr>
        <w:pStyle w:val="ListParagraph"/>
        <w:numPr>
          <w:ilvl w:val="0"/>
          <w:numId w:val="19"/>
        </w:numPr>
      </w:pPr>
      <w:r>
        <w:t>Roept lidstaten op om binnen 120 dagen van de adoptie van zijn resolutie het comité te rapporteren over de stappen ondernomen</w:t>
      </w:r>
    </w:p>
    <w:p w:rsidR="00704A92" w:rsidRDefault="00704A92" w:rsidP="00331B44">
      <w:pPr>
        <w:ind w:left="708"/>
        <w:rPr>
          <w:b/>
        </w:rPr>
      </w:pPr>
      <w:r>
        <w:rPr>
          <w:b/>
        </w:rPr>
        <w:t>Humanitaire assistentie</w:t>
      </w:r>
    </w:p>
    <w:p w:rsidR="00704A92" w:rsidRPr="00817E3D" w:rsidRDefault="00704A92" w:rsidP="00331B44">
      <w:pPr>
        <w:pStyle w:val="ListParagraph"/>
        <w:numPr>
          <w:ilvl w:val="0"/>
          <w:numId w:val="19"/>
        </w:numPr>
        <w:rPr>
          <w:b/>
        </w:rPr>
      </w:pPr>
      <w:r>
        <w:t>Roept alle lidstaten op om samen te werken en in coöperatie te werken met de secretaris generaal, om de terugkeer van humanitaire agentschappen te vergemakkelijken en te steunen en om humanitaire en gerelateerde assistentie in Libië beschikbaar te maken en verzoekt de betrokken staten om de VR regelmatig te informeren over de vooruitgang van de acties en drukt ook zijn bereidheid uit om additionele gepaste maatregelen in overweging te nemen</w:t>
      </w:r>
    </w:p>
    <w:p w:rsidR="00704A92" w:rsidRPr="00817E3D" w:rsidRDefault="00704A92" w:rsidP="00331B44">
      <w:pPr>
        <w:ind w:left="708"/>
        <w:rPr>
          <w:b/>
        </w:rPr>
      </w:pPr>
      <w:r>
        <w:rPr>
          <w:b/>
        </w:rPr>
        <w:t>Toewijding aan inspectie</w:t>
      </w:r>
    </w:p>
    <w:p w:rsidR="00704A92" w:rsidRPr="00A1048B" w:rsidRDefault="00704A92" w:rsidP="00331B44">
      <w:pPr>
        <w:pStyle w:val="ListParagraph"/>
        <w:numPr>
          <w:ilvl w:val="0"/>
          <w:numId w:val="19"/>
        </w:numPr>
        <w:rPr>
          <w:b/>
        </w:rPr>
      </w:pPr>
      <w:r>
        <w:t>Bevestigt dat het de acties van Libische autoriteiten onder inspectie zal houden en dat het bereid is om de gepastheid van de maatregelen te bekijken, inclusief het versterken of opheffen ervan als dit nodig blijkt wanneer de Libische autoriteiten meewerken</w:t>
      </w:r>
    </w:p>
    <w:p w:rsidR="00704A92" w:rsidRPr="00A1048B" w:rsidRDefault="00704A92" w:rsidP="00331B44">
      <w:pPr>
        <w:pStyle w:val="ListParagraph"/>
        <w:numPr>
          <w:ilvl w:val="0"/>
          <w:numId w:val="19"/>
        </w:numPr>
        <w:rPr>
          <w:b/>
        </w:rPr>
      </w:pPr>
      <w:r>
        <w:t>Beslist om actief in beslag genomen te zijn door deze zaak</w:t>
      </w:r>
    </w:p>
    <w:p w:rsidR="00704A92" w:rsidRDefault="00704A92" w:rsidP="00331B44">
      <w:pPr>
        <w:rPr>
          <w:b/>
        </w:rPr>
      </w:pPr>
    </w:p>
    <w:p w:rsidR="00704A92" w:rsidRDefault="00704A92" w:rsidP="00331B44">
      <w:pPr>
        <w:rPr>
          <w:b/>
        </w:rPr>
      </w:pPr>
      <w:r>
        <w:rPr>
          <w:b/>
        </w:rPr>
        <w:t>Dan lijst van namen met zij die verbannen zijn van reizen(Annex1)</w:t>
      </w:r>
    </w:p>
    <w:p w:rsidR="00704A92" w:rsidRPr="00A1048B" w:rsidRDefault="00704A92" w:rsidP="00331B44">
      <w:pPr>
        <w:rPr>
          <w:b/>
        </w:rPr>
      </w:pPr>
      <w:r>
        <w:rPr>
          <w:b/>
        </w:rPr>
        <w:t>Dan lijst met namen van zij die hun activa moeten bevriezen(2)</w:t>
      </w:r>
    </w:p>
    <w:p w:rsidR="00704A92" w:rsidRDefault="00704A92" w:rsidP="00331B44"/>
    <w:p w:rsidR="00704A92" w:rsidRDefault="00704A92" w:rsidP="00331B44">
      <w:pPr>
        <w:pStyle w:val="Heading2"/>
      </w:pPr>
      <w:bookmarkStart w:id="5" w:name="_Toc296090835"/>
      <w:r w:rsidRPr="00E314A4">
        <w:t>Libië: Mensenrechteninstituties en mechanismen</w:t>
      </w:r>
      <w:bookmarkEnd w:id="5"/>
    </w:p>
    <w:p w:rsidR="00704A92" w:rsidRDefault="00704A92" w:rsidP="00331B44">
      <w:r>
        <w:t xml:space="preserve">IGO’s (vooral UN) en NGO’s hebben een belangrijke rol gespeeld in het proces van globale mensenrechten </w:t>
      </w:r>
      <w:r w:rsidRPr="00E314A4">
        <w:rPr>
          <w:szCs w:val="20"/>
        </w:rPr>
        <w:sym w:font="Wingdings" w:char="F0E0"/>
      </w:r>
      <w:r>
        <w:t xml:space="preserve"> ze waren centraal voor het vestigen van normen, instituties, mechanismen en activiteiten. Internationale mensenrechtenbeweging heeft ook een grote invloed gehad.</w:t>
      </w:r>
    </w:p>
    <w:p w:rsidR="00704A92" w:rsidRDefault="00704A92" w:rsidP="00331B44">
      <w:pPr>
        <w:spacing w:after="120"/>
        <w:rPr>
          <w:u w:val="dash"/>
        </w:rPr>
      </w:pPr>
      <w:r w:rsidRPr="00E314A4">
        <w:rPr>
          <w:u w:val="dash"/>
        </w:rPr>
        <w:t>NGO’s en de mensenrechtenbeweging</w:t>
      </w:r>
    </w:p>
    <w:p w:rsidR="00704A92" w:rsidRDefault="00704A92" w:rsidP="00331B44">
      <w:pPr>
        <w:spacing w:after="120"/>
      </w:pPr>
      <w:r>
        <w:t xml:space="preserve">NGO’s al lang actief in mensenrechtenactiviteiten. De allereerste mensenrechtenbewegingen: antislavernij groepen. Meeste NGO’s opgericht rond specifieke problemen of valk na een oorlog. International Committee of the Red Cross, 1860s, om gewonde soldaten, oorlogsgevangenen en burgers te beschermen. Na WO2 groeide het aantal NGO’s sterk, waaronder Catholic Relief Services, CARE en Oxfam. Late jaren 70: Helsinki Akkoorden: ondersteuning van mensenrechten in Oost-Europa en de Sovjet-Unie. </w:t>
      </w:r>
      <w:r w:rsidRPr="00E314A4">
        <w:rPr>
          <w:lang w:val="en-US"/>
        </w:rPr>
        <w:t>Nieuwe generatie NGO’s: Human Rights Watch, National Endowment for Democracy</w:t>
      </w:r>
      <w:r>
        <w:rPr>
          <w:lang w:val="en-US"/>
        </w:rPr>
        <w:t xml:space="preserve"> (een quasi-NGO),…</w:t>
      </w:r>
      <w:r w:rsidRPr="00E314A4">
        <w:rPr>
          <w:lang w:val="en-US"/>
        </w:rPr>
        <w:t xml:space="preserve"> </w:t>
      </w:r>
      <w:r w:rsidRPr="00D011CB">
        <w:t xml:space="preserve">Na de KO: weer nieuwe generatie waaronder Open Society Institute. </w:t>
      </w:r>
      <w:r>
        <w:t>Ondanks hun diversiteit: NGO’s beoefenen een variëteit aan functies en rollen, zowel onafhankelijk als in samenwerking met IGO’s waaronder het publiek onderrichten, informatie en expertise in het opstellen van conventies voorzien, monitoren van inbreuken, operationele taken, monumentum voor mensenrechten conferenties,… Belangrijk deel van de strategie van NGO’s: organiseren van transnationale campagnes over specifieke problemen. Maar ondanks sterkte van NGO’s krijgen ze niet altijd hun zin. Zo mogen ze bvb niet deelnemen aan het opstellen van documenten. Ze staan dus nog niet op gelijke hoogte met staten en veel van hun successen hebben ze te danken aan mogelijkheden voorgesteld door de League of Nations en de UN.</w:t>
      </w:r>
    </w:p>
    <w:p w:rsidR="00704A92" w:rsidRDefault="00704A92" w:rsidP="00331B44">
      <w:pPr>
        <w:spacing w:after="120"/>
        <w:rPr>
          <w:u w:val="dash"/>
        </w:rPr>
      </w:pPr>
      <w:r w:rsidRPr="00D011CB">
        <w:rPr>
          <w:u w:val="dash"/>
        </w:rPr>
        <w:t>League of Nations</w:t>
      </w:r>
      <w:r>
        <w:rPr>
          <w:u w:val="dash"/>
        </w:rPr>
        <w:t>:</w:t>
      </w:r>
    </w:p>
    <w:p w:rsidR="00704A92" w:rsidRDefault="00704A92" w:rsidP="00331B44">
      <w:pPr>
        <w:spacing w:after="120"/>
      </w:pPr>
      <w:r>
        <w:t xml:space="preserve">Verbond deed niet veel met mensenrechten, ondanks pogingen van sommige gedelegeerden om principes van raciale gelijkheid en religieuze vrijheid op te nemen. Vb. hiervan: Japanse overheid en vertegenwoordigers Saionji en Makino: Japan </w:t>
      </w:r>
      <w:r>
        <w:rPr>
          <w:szCs w:val="20"/>
        </w:rPr>
        <w:sym w:font="Wingdings" w:char="F0E0"/>
      </w:r>
      <w:r>
        <w:t xml:space="preserve"> veel macht, ze zullen wel luisteren </w:t>
      </w:r>
      <w:r>
        <w:rPr>
          <w:szCs w:val="20"/>
        </w:rPr>
        <w:sym w:font="Wingdings" w:char="F0E0"/>
      </w:r>
      <w:r>
        <w:t xml:space="preserve"> maar initiatief werd geblokt </w:t>
      </w:r>
      <w:r>
        <w:rPr>
          <w:szCs w:val="20"/>
        </w:rPr>
        <w:sym w:font="Wingdings" w:char="F0E0"/>
      </w:r>
      <w:r>
        <w:t xml:space="preserve"> wel specifieke provisie voor de bescherming van minderheden en mensen uit kolonies gehouden door Turkije en Duitsland na WO 1. Tot deze klaar waren voor onafhankelijkheid werd het mandaat beheerd door een overwinnende staat en in ruil zorgde de League voor supervisie van het systeem via de Mandatencommissie. België kreeg Rwanda-Urundi toegewezen, maar deze werd in 1946, samen met anderen, toegewezen aan de UN. Idee van mandatensysteem was een overwinning en zorgde voor een grotere bescherming. </w:t>
      </w:r>
    </w:p>
    <w:p w:rsidR="00704A92" w:rsidRDefault="00704A92" w:rsidP="00331B44">
      <w:pPr>
        <w:spacing w:after="120"/>
      </w:pPr>
      <w:r>
        <w:t xml:space="preserve">Belofte van zelfbeschikking door Woodrow Wilson zorgde voor Vredesconferentie in Parijs in 1919. Hier bespraken ze de rechten van minderheid en de verantwoordelijkheden van de staten. Hier kwamen 5 overeenkomsten uit voort: de Minderheidsverdragen die aan bepaalde landen als Polen en Griekenland vroeg om te zorgen voor bescherming van alle inwoners, zonder onderscheid van ras, nationaliteit, taal of religie. Ze zorgden ook voor politieke en burgerrechten. </w:t>
      </w:r>
    </w:p>
    <w:p w:rsidR="00704A92" w:rsidRDefault="00704A92" w:rsidP="00331B44">
      <w:pPr>
        <w:spacing w:after="120"/>
      </w:pPr>
      <w:r>
        <w:t>Temporary Slavery Commission opgericht. Hun rapport leidde naar de Internationale Conventie over de afschaffing van slavernij en slavenhandel in 1926. Verdrag was sterk in zetten van een standaard maar zwak wat betreft de handhaving (geen controle). League richtte ook Refugee Organization op, dat zich vooral bezighield met vrouwen en kinderrechten en gezondheidsrechten. Het keurde in 1924 ook de Declaratie van Kinderrechten goed.</w:t>
      </w:r>
    </w:p>
    <w:p w:rsidR="00704A92" w:rsidRDefault="00704A92" w:rsidP="00331B44">
      <w:pPr>
        <w:spacing w:after="120"/>
        <w:rPr>
          <w:u w:val="dash"/>
        </w:rPr>
      </w:pPr>
    </w:p>
    <w:p w:rsidR="00704A92" w:rsidRDefault="00704A92" w:rsidP="00331B44">
      <w:pPr>
        <w:spacing w:after="120"/>
        <w:rPr>
          <w:u w:val="dash"/>
        </w:rPr>
      </w:pPr>
      <w:r w:rsidRPr="00315A4C">
        <w:rPr>
          <w:u w:val="dash"/>
        </w:rPr>
        <w:t>United Nations</w:t>
      </w:r>
    </w:p>
    <w:p w:rsidR="00704A92" w:rsidRDefault="00704A92" w:rsidP="00331B44">
      <w:pPr>
        <w:spacing w:after="120"/>
      </w:pPr>
      <w:r>
        <w:t>Franklin Roosevelt: beroemde ‘Four Freedoms’ speech vroeg om een wereld gebaseerd op 4 essentiële vrijheden. Vrijheid leek terug te vallen tot respect voor individuele rechten. Vele groepen vroegen om een opname van mensenrechten in de UN Charter. Het thema werd een centraal doel voor de UN. De UN Charter had een veel bredere kijk op mensenrechten dan de League of Nations. Samen met de Universele Declaratie van mensenrechten zorgde de UN Charter voor een doorbraak in de revolutie die mensenrechten in het centrum van de politieke wereld plaatste. De UN’s Economic and Social Council richtte vele commissies op die zich met mensenrechten moesten bezighouden zoals bvb de Commissie van mensenrechten. Deze laatste is samengesteld uit overheidsvertegenwoordigers en zorgde voor het stellen van standaarden en het promoten van mensenrechten.</w:t>
      </w:r>
    </w:p>
    <w:p w:rsidR="00704A92" w:rsidRDefault="00704A92" w:rsidP="00331B44">
      <w:pPr>
        <w:spacing w:after="120"/>
      </w:pPr>
      <w:r>
        <w:t xml:space="preserve">De commissies kwamen in de jaren 70 wel onder vuur te liggen toen ze zich richten op sommige landen, maar andere ernstige overtreders negeerden. Libië was voorzitter in 2002, toen de commissie meer kritiek kreeg van de US (die hun zetel in 2001 verloren) en van mensenrechtenactivisten. Commissie werd vervangen in 2005 door de Human Rights Council, om de geloofwaardigheid te versterken. Deze Council telt 47 leden, geselecteerd door de General Assembly voor 2 jaar, ze komen ook samen voor 10 weken door het jaar en rapporteren aan de GA, niet aan ECOSOC, zoals de commissie vroeger deed. Belangrijke innovatie: Universal Periodic Review, waarbij elk lid beoordeeld wordt door 3 bronnen: de staat zelf, de Office van het UN High Commissioner for Human Rights en door internationale mensenrechten groepen. US gaf eerst observatiezetel op maar in 2009 werd het opnieuw verkozen. Council deelt nu positie met het hoger vermelde Office, opgericht in 1993. Het zorgt voor een zichtbare internationale verdediging van mensenrechten, informatievoorziening voor andere UNorganen, promotie en coördinatie. Het heeft ook een operationele rol. Het is wel beperkt in budget en moet daarvoor terugvallen op vrijwillige bijdragen voor het uitvoeren van essentiële taken. 2 van de eerste 4 commissarissen, Mary Robinson (voormalig president van Ierland) en Louise Arbour, hadden een geweldige reputatie omwille van het aangaan van moeilijke uitdagingen en het verhogen van de effectiviteit en de prestige van het Office. Navi Pillay </w:t>
      </w:r>
      <w:r>
        <w:rPr>
          <w:szCs w:val="20"/>
        </w:rPr>
        <w:sym w:font="Wingdings" w:char="F0E0"/>
      </w:r>
      <w:r>
        <w:t xml:space="preserve"> actieve participatie in mensenrechten NGO’s zorgde voor goede banden met de NGO’s, ze komt van een ontwikkelingsland wat zorgt voor meer geloofwaardigheid. </w:t>
      </w:r>
    </w:p>
    <w:p w:rsidR="00704A92" w:rsidRDefault="00704A92" w:rsidP="00331B44">
      <w:pPr>
        <w:spacing w:after="120"/>
      </w:pPr>
      <w:r>
        <w:t xml:space="preserve">General Assembly had ook een belangrijke rol wat mensenrechten betreft. Het debatteerde ook over de apartheid in Zuid-Afrika en kolonisme. Toch werd rol van GA bekeken als beperkt omdat de leden een dubbele standaard hadden door het negeren van bepaalde problemen terwijl ze andere problemen wel aanpakten wat hun effectiviteit en legitimiteit ondermijnde. GA stelt wel thema’s voor zoals het aankaarten van het probleem van homoseksualiteit en doorbrak zo deze taboe. </w:t>
      </w:r>
    </w:p>
    <w:p w:rsidR="00704A92" w:rsidRDefault="00704A92" w:rsidP="00331B44">
      <w:pPr>
        <w:spacing w:after="120"/>
      </w:pPr>
      <w:r>
        <w:t>Sinds de KO: ook de Veiligheidsraad en de ICJ betrokken bij mensenrechten problemen. Tijdens de KO was de raad enkel betrokken bij de problemen in Zimbabwe (toen nog Zuid-Rhodesië) en bij de apartheid in Zuid-Afrika. De VR bespreekt nu ook declaraties ivm kinderarbeid en de rol van vrouwen, vredesmissies en controle voor verkiezingen. Macht van de VR is wel beperkt door belangen van de P-5. Rol van ICJ: minimaal.</w:t>
      </w:r>
    </w:p>
    <w:p w:rsidR="00704A92" w:rsidRDefault="00704A92" w:rsidP="00331B44">
      <w:pPr>
        <w:spacing w:after="120"/>
      </w:pPr>
      <w:r>
        <w:t xml:space="preserve">Doel van internationale bezorgdheid om mensenrechten is om nationale rechten effectief te maken onder nationale rechten en via nationale instituties, maar las dit waar is: taak van internationale organisaties als de UN </w:t>
      </w:r>
      <w:r>
        <w:rPr>
          <w:szCs w:val="20"/>
        </w:rPr>
        <w:sym w:font="Wingdings" w:char="F0E0"/>
      </w:r>
      <w:r>
        <w:t xml:space="preserve"> problematisch omdat het demogelijkheid geeft om zich te bemoeien in binnenlandse zaken, 1 van de keurmerken van staatsoevereiniteit. </w:t>
      </w:r>
    </w:p>
    <w:p w:rsidR="00704A92" w:rsidRDefault="00704A92" w:rsidP="00331B44">
      <w:pPr>
        <w:spacing w:after="120"/>
        <w:rPr>
          <w:u w:val="single"/>
        </w:rPr>
      </w:pPr>
      <w:r w:rsidRPr="00E04042">
        <w:rPr>
          <w:u w:val="single"/>
        </w:rPr>
        <w:t>Mensenrechten afdwingen</w:t>
      </w:r>
    </w:p>
    <w:p w:rsidR="00704A92" w:rsidRDefault="00704A92" w:rsidP="00331B44">
      <w:pPr>
        <w:spacing w:after="120"/>
      </w:pPr>
      <w:r>
        <w:t>Het afdwingen is de meest problematische taak omdat de naleving de sleutel is en internationale instituten hebben een gelimiteerde capaciteit om naleving af te dwingen. Staten blijven de grootste afdwingers, hoewel ze ook de belangrijkste schenders zijn. 2 benaderingen:</w:t>
      </w:r>
    </w:p>
    <w:p w:rsidR="00704A92" w:rsidRDefault="00704A92" w:rsidP="00331B44">
      <w:pPr>
        <w:pStyle w:val="ListParagraph"/>
        <w:numPr>
          <w:ilvl w:val="0"/>
          <w:numId w:val="32"/>
        </w:numPr>
        <w:spacing w:after="120" w:line="276" w:lineRule="auto"/>
      </w:pPr>
      <w:r w:rsidRPr="00E04042">
        <w:t xml:space="preserve">National courts: vben: Filartiga v Pena-Irala en Doe v. Unocal, bij beide vben: Alien Tort Statute. </w:t>
      </w:r>
      <w:r>
        <w:t xml:space="preserve"> De Alien Tort Claims Act wordt nog altijd gebruikt om MNC’s verantwoordelijk te stellen voor mensenrechten misbruiken. Nog een vb: Chileens dictator Augusto Pinochet. Door zijn vervolging werd het duidelijk dat individuele leiders ook aansprakelijk gesteld konden worden voor mensenrechten overtredingen tegen hun eigen volk.</w:t>
      </w:r>
    </w:p>
    <w:p w:rsidR="00704A92" w:rsidRDefault="00704A92" w:rsidP="00331B44">
      <w:pPr>
        <w:pStyle w:val="ListParagraph"/>
        <w:numPr>
          <w:ilvl w:val="0"/>
          <w:numId w:val="32"/>
        </w:numPr>
        <w:spacing w:after="120" w:line="276" w:lineRule="auto"/>
      </w:pPr>
      <w:r>
        <w:t xml:space="preserve">Dwangmaatregelen: overheden kunnen unilaterale maatregelen nemen tegen andere staten voor misbruiken. Vb: apartheid in Zuid-Afrika </w:t>
      </w:r>
      <w:r>
        <w:rPr>
          <w:szCs w:val="20"/>
        </w:rPr>
        <w:sym w:font="Wingdings" w:char="F0E0"/>
      </w:r>
      <w:r>
        <w:t xml:space="preserve"> GA </w:t>
      </w:r>
      <w:r>
        <w:rPr>
          <w:szCs w:val="20"/>
        </w:rPr>
        <w:sym w:font="Wingdings" w:char="F0E0"/>
      </w:r>
      <w:r>
        <w:t xml:space="preserve"> internationale sancties. Dwangmaatregelen kunnen ook ondermijnd worden door economische belangen zoals de onderdrukking van het Tiananmen Plein in China. Humanitaire organisaties waarschuwen dat dwangmaatregelen kunnen leiden tot compleet staatsmislukking. </w:t>
      </w:r>
    </w:p>
    <w:p w:rsidR="00704A92" w:rsidRDefault="00704A92" w:rsidP="00331B44">
      <w:pPr>
        <w:spacing w:after="120"/>
      </w:pPr>
      <w:r>
        <w:t>Internationale benaderingen:</w:t>
      </w:r>
    </w:p>
    <w:p w:rsidR="00704A92" w:rsidRDefault="00704A92" w:rsidP="00331B44">
      <w:pPr>
        <w:pStyle w:val="ListParagraph"/>
        <w:numPr>
          <w:ilvl w:val="0"/>
          <w:numId w:val="33"/>
        </w:numPr>
        <w:spacing w:after="120" w:line="276" w:lineRule="auto"/>
      </w:pPr>
      <w:r>
        <w:t xml:space="preserve">UNhandhaving: 2 vb’en: Britse kolonie in Zuid-Afrika </w:t>
      </w:r>
      <w:r>
        <w:rPr>
          <w:szCs w:val="20"/>
        </w:rPr>
        <w:sym w:font="Wingdings" w:char="F0E0"/>
      </w:r>
      <w:r>
        <w:t xml:space="preserve"> opgelost door economische sancties opgelegd door VR, en in Zimbabwe </w:t>
      </w:r>
      <w:r>
        <w:rPr>
          <w:szCs w:val="20"/>
        </w:rPr>
        <w:sym w:font="Wingdings" w:char="F0E0"/>
      </w:r>
      <w:r>
        <w:t xml:space="preserve"> opgelost door wapen embargo. Maar in geen van beide gevallen maakte de VR de link tussen mensenrechtenschendingen en veiligheidsbedreigingen. De sancties verzwakte de minoriteitregimes maar veranderde het beleid niet meteen. Handhaving kan ook het gebruik van militaire troepen omvatten. </w:t>
      </w:r>
      <w:r w:rsidRPr="00301D37">
        <w:t xml:space="preserve">Global Centre for the Responsibility to Protect, opgericht in 2008 </w:t>
      </w:r>
      <w:r>
        <w:rPr>
          <w:szCs w:val="20"/>
        </w:rPr>
        <w:sym w:font="Wingdings" w:char="F0E0"/>
      </w:r>
      <w:r w:rsidRPr="00301D37">
        <w:t xml:space="preserve"> manier om pogingen tot het verantw</w:t>
      </w:r>
      <w:r>
        <w:t>oordelijk stellen van staten te ondersteunen.</w:t>
      </w:r>
    </w:p>
    <w:p w:rsidR="00704A92" w:rsidRDefault="00704A92" w:rsidP="00331B44">
      <w:pPr>
        <w:pStyle w:val="ListParagraph"/>
        <w:numPr>
          <w:ilvl w:val="0"/>
          <w:numId w:val="33"/>
        </w:numPr>
        <w:spacing w:after="120" w:line="276" w:lineRule="auto"/>
      </w:pPr>
      <w:r>
        <w:t>Ad hoc oorlogsmisdadenrechtbanken: om individuen te straffen die verantwoordelijk waren voor oorlogsmisdaden tijdens WO 2. International Criminal Tribunal for the Former Yugoslavia en eentje voor Rwanda en Sierra Leonne. Aanvankelijk ontbraken er procedures en structuur, nu hebben ze heel wat personeel waardoor ze een antwoord kunnen bieden op vraagstukken van autoriteit,gevangenschap, wetgeving,…  Taken: ontwikkelen van procedures voor vastleggen van relevante feiten, zorgen voor een forum zodat slachtoffers gehoord worden en invulling van internationale criminele en humanitaire concepten over oorlogsmisdaden, genocide en marteling. Kreeg ook kritiek voor zijn hoge kosten en trage vooruitgang. Het proces van Jean-Paul Akayesu stelde een vb dat verkrachting ook een misdaad is. Beide commissies stoppen ermee in 2011, hoewel dit nog voor discussies vatbaar is.</w:t>
      </w:r>
    </w:p>
    <w:p w:rsidR="00704A92" w:rsidRDefault="00704A92" w:rsidP="00331B44">
      <w:pPr>
        <w:pStyle w:val="ListParagraph"/>
        <w:numPr>
          <w:ilvl w:val="0"/>
          <w:numId w:val="33"/>
        </w:numPr>
        <w:spacing w:after="120" w:line="276" w:lineRule="auto"/>
      </w:pPr>
      <w:r>
        <w:t xml:space="preserve">Internationale criminele gerechtshoven: meest ambitieuze initiatief in de geschiedenis van moderne internationale wetgeving. In contrast met jurisdictie van ICJ heeft ICC zowel jurisdictie over personen als verplichte jurisdictie. ICC is onafhankelijke van UN maar geeft soms toestemming aan VR om cases door te verwijzen. Het ICC behandelt serieuze oorlogsmisdaden die een beleid of plan voorstellen. Misbruiken moeten systematisch of wijdverspreid zijn. 4 types van misdaden worden behandeld: genocide, misdaden tegen de mensheid, oorlogsmisdaden en agressiviteit. Niemand is immuun voor de jurisdictie, ook staatshoofden niet. Rechtbank als laatste redmiddel aangezien het alleen zaken neemt wanneer de nationale rechtbanken dit niet willen of kunnen doen. Vervolging is verboden voor misdaden voor 1 juli 2002 (opgericht) en individuen moeten aanwezig zijn. Iedereen kan een zaak naar voor brengen. US </w:t>
      </w:r>
      <w:r>
        <w:rPr>
          <w:szCs w:val="20"/>
        </w:rPr>
        <w:sym w:font="Wingdings" w:char="F0E0"/>
      </w:r>
      <w:r>
        <w:t xml:space="preserve"> tegen het ICC omdat het in staat is militair personeel en zelfs de president te vervolgen zonder toestemming van de US zelf. Het maakt inbreuk op soevereiniteit en heeft een unieke rol in internationale relaties volgens de US. US heeft al honderden contracten getekend met andere landen waarin staat dat deze geen hoge USinwoners mogen uitleveren en voor landen die niet akkoord gaan, volgt een terugtrekking van economische hulp. Nog een beschermingsmaatregel: American Service-Members Protection Act. Tot nu toe: 5 cases voor ICC waarvan 4 Afrikaanse: DRC, Oeganda, CAR en Darfour. Eerste proces: vervolging van Congolese Kolonel Thomas Lubanga. Nog vele andere kleine gevallen maar de meeste vielen buiten de jurisdictie van de ICC.</w:t>
      </w:r>
    </w:p>
    <w:p w:rsidR="00704A92" w:rsidRPr="00C50909" w:rsidRDefault="00704A92" w:rsidP="00331B44">
      <w:pPr>
        <w:spacing w:after="120"/>
        <w:rPr>
          <w:u w:val="single"/>
        </w:rPr>
      </w:pPr>
      <w:r w:rsidRPr="00C50909">
        <w:rPr>
          <w:u w:val="single"/>
        </w:rPr>
        <w:t>Naleving van de sta</w:t>
      </w:r>
      <w:r>
        <w:rPr>
          <w:u w:val="single"/>
        </w:rPr>
        <w:t>t</w:t>
      </w:r>
      <w:r w:rsidRPr="00C50909">
        <w:rPr>
          <w:u w:val="single"/>
        </w:rPr>
        <w:t>en en het geval van de US</w:t>
      </w:r>
    </w:p>
    <w:p w:rsidR="00704A92" w:rsidRDefault="00704A92" w:rsidP="00331B44">
      <w:pPr>
        <w:spacing w:after="120"/>
      </w:pPr>
      <w:r>
        <w:t xml:space="preserve">Staten blijven de belangrijkste spelers op vlak van mensenrechten. Realisme: stelt dat staten dit enkel doen als het goed is voor het nationaal belang en op basis van dit criterium kiezen ze welke normen en praktijken ze aanvaarden. Liberalisme: focus op binnenlandse onderhandelingen of op de wens om internationale orde te promoten door acceptatie van gemeenschappelijke standaarden. Constructivisme: toewijding en naleving als resultaat van socialisatie door NGO’s en andere. In dit proces kan de identiteit geherdefinieerd worden. Het ondersteunt het belang van het stellen van standaarden en promoten van normen als manieren om de identiteit en het gedrag van staten te veranderen. </w:t>
      </w:r>
    </w:p>
    <w:p w:rsidR="00704A92" w:rsidRPr="00C50909" w:rsidRDefault="00704A92" w:rsidP="00331B44">
      <w:pPr>
        <w:spacing w:after="120"/>
      </w:pPr>
      <w:r>
        <w:t xml:space="preserve">US: aanvankelijk leider in het ondersteunen van internationale mechanismen tegen oorlogsmisdaden enzovoort maar de US heeft vele mensenrechtendocumenten getekend, maar nooit goedgekeurd. Het duurde 40 jaar voor de goedkeuring van de Genocide Conventie. US staat dus bekend als niet-toegewijd aan internationale mensenrechtenstandaarden. Redenen kunnen verschillen, US wil meestal toevoegingen van conclusies in hun voordeel zoals unilaterale statements over de interpretatie van het verdrag en dat de rechten niet direct afdwingbaar zijn. Na 9/11: ook verandering aan bvb definitie van marteling en invoeging van nieuwe categorie gedetineerden: vijandelijke strijders. Bait and switch: US moedigt mensenrechten in andere landen aan, maar dezelfde standaarden zijn zelf niet van toepassing in hun eigen land. US is zo onwillig door het exceptionalisme. Ze vinden niet dat ze moeten buigen voor de vraag van anderen of zich moeten beperken door de acties van anderen. Ze blijven natuurlijk hun autoriteit ook bewaren. Maakt deze ambivalentie iets uit? Aan de ene kant wel, omdat het gaat om een clash tussen internationale instituties en een grote supermacht met veel financiële middelen, maar aan de andere kant is mensenrechten een thema dat gevestigd is binnen een sterk netwerk van NGO’s en democratische staten, ondersteund door het publiek. </w:t>
      </w:r>
    </w:p>
    <w:p w:rsidR="00704A92" w:rsidRDefault="00704A92" w:rsidP="00807125">
      <w:pPr>
        <w:pStyle w:val="Heading1"/>
      </w:pPr>
      <w:r>
        <w:br w:type="page"/>
      </w:r>
      <w:bookmarkStart w:id="6" w:name="_Toc296090836"/>
      <w:r>
        <w:t>Hoofdstuk 14: Het beleid en de processen van global governance</w:t>
      </w:r>
      <w:bookmarkEnd w:id="6"/>
    </w:p>
    <w:p w:rsidR="00704A92" w:rsidRPr="00807125" w:rsidRDefault="00704A92" w:rsidP="00807125">
      <w:pPr>
        <w:rPr>
          <w:sz w:val="22"/>
        </w:rPr>
      </w:pPr>
      <w:r w:rsidRPr="00807125">
        <w:rPr>
          <w:sz w:val="22"/>
        </w:rPr>
        <w:t>Jaren ’90: NGO’s werden belangrijke kanalen voor hulp, door het uitzetten van hun eigen missies en het functioneren als onderaannemers voor donoroverheden + toenemend partnership met de Wereldbank, het UNDP en andere IGO’s.</w:t>
      </w:r>
    </w:p>
    <w:p w:rsidR="00704A92" w:rsidRPr="00807125" w:rsidRDefault="00704A92" w:rsidP="00807125">
      <w:pPr>
        <w:rPr>
          <w:sz w:val="22"/>
        </w:rPr>
      </w:pPr>
    </w:p>
    <w:p w:rsidR="00704A92" w:rsidRPr="00807125" w:rsidRDefault="00704A92" w:rsidP="00807125">
      <w:pPr>
        <w:rPr>
          <w:sz w:val="22"/>
        </w:rPr>
      </w:pPr>
      <w:r w:rsidRPr="00807125">
        <w:rPr>
          <w:sz w:val="22"/>
        </w:rPr>
        <w:t>Microkrediet: arme mensen helpen tot zelfverwezenlijking, kleine private ondernemingen stimuleren, economische en sociale rimpeleffecten (=geleidelijke verspreiding van invloed) genereren.</w:t>
      </w:r>
    </w:p>
    <w:p w:rsidR="00704A92" w:rsidRPr="00807125" w:rsidRDefault="00704A92" w:rsidP="00807125">
      <w:pPr>
        <w:rPr>
          <w:b/>
          <w:sz w:val="22"/>
        </w:rPr>
      </w:pPr>
    </w:p>
    <w:p w:rsidR="00704A92" w:rsidRPr="00807125" w:rsidRDefault="00704A92" w:rsidP="00807125">
      <w:pPr>
        <w:rPr>
          <w:b/>
          <w:sz w:val="22"/>
        </w:rPr>
      </w:pPr>
      <w:r w:rsidRPr="00807125">
        <w:rPr>
          <w:b/>
          <w:sz w:val="22"/>
        </w:rPr>
        <w:t>Chaos van ontwikkelingshulp?</w:t>
      </w:r>
    </w:p>
    <w:p w:rsidR="00704A92" w:rsidRPr="00807125" w:rsidRDefault="00704A92" w:rsidP="00807125">
      <w:pPr>
        <w:rPr>
          <w:sz w:val="22"/>
        </w:rPr>
      </w:pPr>
      <w:r w:rsidRPr="00807125">
        <w:rPr>
          <w:sz w:val="22"/>
        </w:rPr>
        <w:t>Liberalisering van de handel op basis van comparatief voordeel wordt gezien als een voorwaarde voor economische groei in de klassieke liberale economische theorie.</w:t>
      </w:r>
    </w:p>
    <w:p w:rsidR="00704A92" w:rsidRPr="00807125" w:rsidRDefault="00704A92" w:rsidP="00807125">
      <w:pPr>
        <w:rPr>
          <w:sz w:val="22"/>
        </w:rPr>
      </w:pPr>
      <w:r w:rsidRPr="00807125">
        <w:rPr>
          <w:sz w:val="22"/>
        </w:rPr>
        <w:sym w:font="Wingdings" w:char="F0E0"/>
      </w:r>
      <w:r w:rsidRPr="00807125">
        <w:rPr>
          <w:sz w:val="22"/>
        </w:rPr>
        <w:t xml:space="preserve"> Wat wel belangrijk is voor ontwikkeling = handelsregels die voor nationale diversiteit en standaarden zorgen.</w:t>
      </w:r>
    </w:p>
    <w:p w:rsidR="00704A92" w:rsidRPr="00807125" w:rsidRDefault="00704A92" w:rsidP="00807125">
      <w:pPr>
        <w:rPr>
          <w:b/>
          <w:sz w:val="22"/>
        </w:rPr>
      </w:pPr>
    </w:p>
    <w:p w:rsidR="00704A92" w:rsidRPr="00807125" w:rsidRDefault="00704A92" w:rsidP="00807125">
      <w:pPr>
        <w:rPr>
          <w:b/>
          <w:sz w:val="22"/>
        </w:rPr>
      </w:pPr>
      <w:r w:rsidRPr="00807125">
        <w:rPr>
          <w:b/>
          <w:sz w:val="22"/>
        </w:rPr>
        <w:t>Handel: van GATT naar WTO</w:t>
      </w:r>
    </w:p>
    <w:p w:rsidR="00704A92" w:rsidRPr="00807125" w:rsidRDefault="00704A92" w:rsidP="00807125">
      <w:pPr>
        <w:rPr>
          <w:sz w:val="22"/>
        </w:rPr>
      </w:pPr>
      <w:r w:rsidRPr="00807125">
        <w:rPr>
          <w:sz w:val="22"/>
        </w:rPr>
        <w:t xml:space="preserve">GATT (General Agreement on Tariffs and Trade): de leden (aanbestedende partijen genoemd) zijn de grootste ontwikkelde landen, exclusief de Oostbloklanden en de Sovjet Unie. </w:t>
      </w:r>
    </w:p>
    <w:p w:rsidR="00704A92" w:rsidRPr="00807125" w:rsidRDefault="00704A92" w:rsidP="00807125">
      <w:pPr>
        <w:rPr>
          <w:sz w:val="22"/>
        </w:rPr>
      </w:pPr>
    </w:p>
    <w:p w:rsidR="00704A92" w:rsidRPr="00807125" w:rsidRDefault="00704A92" w:rsidP="00807125">
      <w:pPr>
        <w:rPr>
          <w:sz w:val="22"/>
        </w:rPr>
      </w:pPr>
      <w:r w:rsidRPr="00807125">
        <w:rPr>
          <w:sz w:val="22"/>
        </w:rPr>
        <w:sym w:font="Wingdings" w:char="F0E0"/>
      </w:r>
      <w:r w:rsidRPr="00807125">
        <w:rPr>
          <w:sz w:val="22"/>
        </w:rPr>
        <w:t xml:space="preserve"> Geleidelijk aan in de jaren ’80 en  ’90 namen ook ontwikkelingslanden deel aan de GATT</w:t>
      </w:r>
    </w:p>
    <w:p w:rsidR="00704A92" w:rsidRPr="00807125" w:rsidRDefault="00704A92" w:rsidP="00807125">
      <w:pPr>
        <w:rPr>
          <w:sz w:val="22"/>
        </w:rPr>
      </w:pPr>
    </w:p>
    <w:p w:rsidR="00704A92" w:rsidRPr="00807125" w:rsidRDefault="00704A92" w:rsidP="00807125">
      <w:pPr>
        <w:rPr>
          <w:sz w:val="22"/>
        </w:rPr>
      </w:pPr>
      <w:r w:rsidRPr="00807125">
        <w:rPr>
          <w:sz w:val="22"/>
        </w:rPr>
        <w:t>1995: de Wereldhandelsorganisatie schiet eindelijk in gang.</w:t>
      </w:r>
    </w:p>
    <w:p w:rsidR="00704A92" w:rsidRPr="00807125" w:rsidRDefault="00704A92" w:rsidP="00807125">
      <w:pPr>
        <w:rPr>
          <w:b/>
          <w:sz w:val="22"/>
        </w:rPr>
      </w:pPr>
    </w:p>
    <w:p w:rsidR="00704A92" w:rsidRPr="00807125" w:rsidRDefault="00704A92" w:rsidP="00807125">
      <w:pPr>
        <w:rPr>
          <w:b/>
          <w:sz w:val="22"/>
        </w:rPr>
      </w:pPr>
      <w:r w:rsidRPr="00807125">
        <w:rPr>
          <w:b/>
          <w:sz w:val="22"/>
        </w:rPr>
        <w:t>Principes en operaties van GATT en WTO</w:t>
      </w:r>
    </w:p>
    <w:p w:rsidR="00704A92" w:rsidRPr="00807125" w:rsidRDefault="00704A92" w:rsidP="00807125">
      <w:pPr>
        <w:rPr>
          <w:sz w:val="22"/>
        </w:rPr>
      </w:pPr>
      <w:r w:rsidRPr="00807125">
        <w:rPr>
          <w:sz w:val="22"/>
        </w:rPr>
        <w:t xml:space="preserve">GATT was geen formele organisatie, stemmen en formele besluitvormingen waren geen normale eigenschappen van de rondes. Meeste beslissingen werden bilateraal genomen en werden dan multilateraal gemaakt. Er was wel sprake van geschillenbeslechting procedures, en toch nog waren er weinig manieren om beslissingen af te dwingen. </w:t>
      </w:r>
    </w:p>
    <w:p w:rsidR="00704A92" w:rsidRPr="00807125" w:rsidRDefault="00704A92" w:rsidP="00807125">
      <w:pPr>
        <w:rPr>
          <w:sz w:val="22"/>
        </w:rPr>
      </w:pPr>
    </w:p>
    <w:p w:rsidR="00704A92" w:rsidRPr="00807125" w:rsidRDefault="00704A92" w:rsidP="00807125">
      <w:pPr>
        <w:rPr>
          <w:sz w:val="22"/>
        </w:rPr>
      </w:pPr>
      <w:r w:rsidRPr="00807125">
        <w:rPr>
          <w:sz w:val="22"/>
        </w:rPr>
        <w:t xml:space="preserve">Onderhandelingen van GATT in de jaren ’60: aanpassing van het systeem aan de oprichting van de Europese gemeenschap en toegang verlenen tot de Noordelijke markten voor de minder ontwikkelde landen om economische groei te stimuleren maar er was toch nog steeds sprake van toenemend protectionisme. </w:t>
      </w:r>
    </w:p>
    <w:p w:rsidR="00704A92" w:rsidRPr="00807125" w:rsidRDefault="00704A92" w:rsidP="00807125">
      <w:pPr>
        <w:rPr>
          <w:sz w:val="22"/>
        </w:rPr>
      </w:pPr>
    </w:p>
    <w:p w:rsidR="00704A92" w:rsidRPr="00807125" w:rsidRDefault="00704A92" w:rsidP="00807125">
      <w:pPr>
        <w:rPr>
          <w:sz w:val="22"/>
        </w:rPr>
      </w:pPr>
      <w:r w:rsidRPr="00807125">
        <w:rPr>
          <w:sz w:val="22"/>
        </w:rPr>
        <w:t xml:space="preserve">In 1993 tijdens de Uruguay-ronde: nieuwe items zoals diensten (verzekeringen), intellectueel eigendomsrechten (copyright, patenten en handelsmarkten),  agricultuur en textiel </w:t>
      </w:r>
      <w:r w:rsidRPr="00807125">
        <w:rPr>
          <w:sz w:val="22"/>
        </w:rPr>
        <w:sym w:font="Wingdings" w:char="F0E0"/>
      </w:r>
      <w:r w:rsidRPr="00807125">
        <w:rPr>
          <w:sz w:val="22"/>
        </w:rPr>
        <w:t xml:space="preserve"> Uitkomst = overeenkomst mbt het oprichten van de Wereldhandelsorganisatie.</w:t>
      </w:r>
    </w:p>
    <w:p w:rsidR="00704A92" w:rsidRPr="00807125" w:rsidRDefault="00704A92" w:rsidP="00807125">
      <w:pPr>
        <w:rPr>
          <w:sz w:val="22"/>
        </w:rPr>
      </w:pPr>
    </w:p>
    <w:p w:rsidR="00704A92" w:rsidRPr="00807125" w:rsidRDefault="00704A92" w:rsidP="00807125">
      <w:pPr>
        <w:rPr>
          <w:sz w:val="22"/>
        </w:rPr>
      </w:pPr>
      <w:r w:rsidRPr="00807125">
        <w:rPr>
          <w:sz w:val="22"/>
        </w:rPr>
        <w:t xml:space="preserve">GATT zorgde voor nieuwe regels voor het internationaal handelsregime </w:t>
      </w:r>
      <w:r w:rsidRPr="00807125">
        <w:rPr>
          <w:sz w:val="22"/>
        </w:rPr>
        <w:sym w:font="Wingdings" w:char="F0E0"/>
      </w:r>
      <w:r w:rsidRPr="00807125">
        <w:rPr>
          <w:sz w:val="22"/>
        </w:rPr>
        <w:t xml:space="preserve"> toename van handel tussen deelnemende staten. </w:t>
      </w:r>
    </w:p>
    <w:p w:rsidR="00704A92" w:rsidRPr="00807125" w:rsidRDefault="00704A92" w:rsidP="00807125">
      <w:pPr>
        <w:rPr>
          <w:sz w:val="22"/>
        </w:rPr>
      </w:pPr>
    </w:p>
    <w:p w:rsidR="00704A92" w:rsidRPr="00807125" w:rsidRDefault="00704A92" w:rsidP="00807125">
      <w:pPr>
        <w:rPr>
          <w:sz w:val="22"/>
        </w:rPr>
      </w:pPr>
      <w:r w:rsidRPr="00807125">
        <w:rPr>
          <w:sz w:val="22"/>
        </w:rPr>
        <w:t xml:space="preserve">1995: WTO verving GATT als de ‘scheidsrechter’ van handelsregels en het is een formele handelsorganisatie. Het nam de rechtsmacht over van GATT + uitgebreide rechtsmacht op het vlak van intellectuele eigendom en diensten </w:t>
      </w:r>
      <w:r w:rsidRPr="00807125">
        <w:rPr>
          <w:sz w:val="22"/>
        </w:rPr>
        <w:sym w:font="Wingdings" w:char="F0E0"/>
      </w:r>
      <w:r w:rsidRPr="00807125">
        <w:rPr>
          <w:sz w:val="22"/>
        </w:rPr>
        <w:t xml:space="preserve"> TRIPS = trade-related aspects of intellectual property rights en GATS = general agreement on trade in services.</w:t>
      </w:r>
    </w:p>
    <w:p w:rsidR="00704A92" w:rsidRPr="00807125" w:rsidRDefault="00704A92" w:rsidP="00807125">
      <w:pPr>
        <w:rPr>
          <w:b/>
          <w:sz w:val="22"/>
        </w:rPr>
      </w:pPr>
    </w:p>
    <w:p w:rsidR="00704A92" w:rsidRPr="00807125" w:rsidRDefault="00704A92" w:rsidP="00807125">
      <w:pPr>
        <w:rPr>
          <w:sz w:val="22"/>
        </w:rPr>
      </w:pPr>
      <w:r w:rsidRPr="00807125">
        <w:rPr>
          <w:b/>
          <w:sz w:val="22"/>
        </w:rPr>
        <w:t>Centrale principes WTO</w:t>
      </w:r>
      <w:r w:rsidRPr="00807125">
        <w:rPr>
          <w:sz w:val="22"/>
        </w:rPr>
        <w:t>:</w:t>
      </w:r>
    </w:p>
    <w:p w:rsidR="00704A92" w:rsidRPr="00807125" w:rsidRDefault="00704A92" w:rsidP="00807125">
      <w:pPr>
        <w:rPr>
          <w:sz w:val="22"/>
        </w:rPr>
      </w:pPr>
      <w:r w:rsidRPr="00807125">
        <w:rPr>
          <w:b/>
          <w:sz w:val="22"/>
        </w:rPr>
        <w:t>1)</w:t>
      </w:r>
      <w:r w:rsidRPr="00807125">
        <w:rPr>
          <w:sz w:val="22"/>
        </w:rPr>
        <w:t xml:space="preserve">  </w:t>
      </w:r>
      <w:r w:rsidRPr="00807125">
        <w:rPr>
          <w:b/>
          <w:sz w:val="22"/>
        </w:rPr>
        <w:t>Niet-discriminatie</w:t>
      </w:r>
      <w:r w:rsidRPr="00807125">
        <w:rPr>
          <w:sz w:val="22"/>
        </w:rPr>
        <w:t>:</w:t>
      </w:r>
    </w:p>
    <w:p w:rsidR="00704A92" w:rsidRPr="00807125" w:rsidRDefault="00704A92" w:rsidP="00807125">
      <w:pPr>
        <w:rPr>
          <w:sz w:val="22"/>
        </w:rPr>
      </w:pPr>
      <w:r w:rsidRPr="00807125">
        <w:rPr>
          <w:sz w:val="22"/>
        </w:rPr>
        <w:t>- Most-favored-nation treatment:  producten die afkomstig zijn van een lidstaat evenwaardig als producten van andere staten.</w:t>
      </w:r>
    </w:p>
    <w:p w:rsidR="00704A92" w:rsidRPr="00807125" w:rsidRDefault="00704A92" w:rsidP="00807125">
      <w:pPr>
        <w:rPr>
          <w:sz w:val="22"/>
        </w:rPr>
      </w:pPr>
    </w:p>
    <w:p w:rsidR="00704A92" w:rsidRPr="00807125" w:rsidRDefault="00704A92" w:rsidP="00807125">
      <w:pPr>
        <w:rPr>
          <w:sz w:val="22"/>
        </w:rPr>
      </w:pPr>
      <w:r w:rsidRPr="00807125">
        <w:rPr>
          <w:sz w:val="22"/>
        </w:rPr>
        <w:t xml:space="preserve">- National treatment: binnenlandse producten evenwaardig als buitenlandse producten </w:t>
      </w:r>
    </w:p>
    <w:p w:rsidR="00704A92" w:rsidRPr="00807125" w:rsidRDefault="00704A92" w:rsidP="00807125">
      <w:pPr>
        <w:rPr>
          <w:b/>
          <w:sz w:val="22"/>
        </w:rPr>
      </w:pPr>
    </w:p>
    <w:p w:rsidR="00704A92" w:rsidRPr="00807125" w:rsidRDefault="00704A92" w:rsidP="00807125">
      <w:pPr>
        <w:rPr>
          <w:sz w:val="22"/>
        </w:rPr>
      </w:pPr>
      <w:r w:rsidRPr="00807125">
        <w:rPr>
          <w:b/>
          <w:sz w:val="22"/>
        </w:rPr>
        <w:t>2)</w:t>
      </w:r>
      <w:r w:rsidRPr="00807125">
        <w:rPr>
          <w:sz w:val="22"/>
        </w:rPr>
        <w:t xml:space="preserve"> </w:t>
      </w:r>
      <w:r w:rsidRPr="00807125">
        <w:rPr>
          <w:b/>
          <w:sz w:val="22"/>
        </w:rPr>
        <w:t xml:space="preserve">Wederkerigheid: </w:t>
      </w:r>
      <w:r w:rsidRPr="00807125">
        <w:rPr>
          <w:sz w:val="22"/>
        </w:rPr>
        <w:t>lidstaten moeten proberen equivalente veranderingen in hun beleidvoering. Er mag enkel sprake zijn van beschermingen via tarieven, lidstaten mogen geen quota’s doorvoeren.</w:t>
      </w:r>
    </w:p>
    <w:p w:rsidR="00704A92" w:rsidRPr="00807125" w:rsidRDefault="00704A92" w:rsidP="00807125">
      <w:pPr>
        <w:rPr>
          <w:b/>
          <w:sz w:val="22"/>
        </w:rPr>
      </w:pPr>
    </w:p>
    <w:p w:rsidR="00704A92" w:rsidRPr="00807125" w:rsidRDefault="00704A92" w:rsidP="00807125">
      <w:pPr>
        <w:rPr>
          <w:sz w:val="22"/>
        </w:rPr>
      </w:pPr>
      <w:r w:rsidRPr="00807125">
        <w:rPr>
          <w:b/>
          <w:sz w:val="22"/>
        </w:rPr>
        <w:t xml:space="preserve">3) Transparantie: </w:t>
      </w:r>
      <w:r w:rsidRPr="00807125">
        <w:rPr>
          <w:sz w:val="22"/>
        </w:rPr>
        <w:t>lidstaten moeten hun handelsregulaties publiceren en moeten procedures toepassen voor het herbekijken van administratieve regulaties.</w:t>
      </w:r>
    </w:p>
    <w:p w:rsidR="00704A92" w:rsidRPr="00807125" w:rsidRDefault="00704A92" w:rsidP="00807125">
      <w:pPr>
        <w:rPr>
          <w:b/>
          <w:sz w:val="22"/>
        </w:rPr>
      </w:pPr>
    </w:p>
    <w:p w:rsidR="00704A92" w:rsidRPr="00807125" w:rsidRDefault="00704A92" w:rsidP="00807125">
      <w:pPr>
        <w:rPr>
          <w:b/>
          <w:sz w:val="22"/>
        </w:rPr>
      </w:pPr>
      <w:r w:rsidRPr="00807125">
        <w:rPr>
          <w:b/>
          <w:sz w:val="22"/>
        </w:rPr>
        <w:t>4) Veiligheidskleppen voor lidstaten niet-economische doeleinden:</w:t>
      </w:r>
    </w:p>
    <w:p w:rsidR="00704A92" w:rsidRPr="00807125" w:rsidRDefault="00704A92" w:rsidP="00807125">
      <w:pPr>
        <w:rPr>
          <w:sz w:val="22"/>
        </w:rPr>
      </w:pPr>
      <w:r w:rsidRPr="00807125">
        <w:rPr>
          <w:sz w:val="22"/>
        </w:rPr>
        <w:t>- Beschermen van publieke gezondheid en nationale beveiliging</w:t>
      </w:r>
    </w:p>
    <w:p w:rsidR="00704A92" w:rsidRPr="00807125" w:rsidRDefault="00704A92" w:rsidP="00807125">
      <w:pPr>
        <w:rPr>
          <w:sz w:val="22"/>
        </w:rPr>
      </w:pPr>
      <w:r w:rsidRPr="00807125">
        <w:rPr>
          <w:sz w:val="22"/>
        </w:rPr>
        <w:t xml:space="preserve">- Binnenlandse industrieën beschermen </w:t>
      </w:r>
    </w:p>
    <w:p w:rsidR="00704A92" w:rsidRPr="00807125" w:rsidRDefault="00704A92" w:rsidP="00807125">
      <w:pPr>
        <w:rPr>
          <w:b/>
          <w:sz w:val="22"/>
        </w:rPr>
      </w:pPr>
    </w:p>
    <w:p w:rsidR="00704A92" w:rsidRPr="00807125" w:rsidRDefault="00704A92" w:rsidP="00807125">
      <w:pPr>
        <w:rPr>
          <w:b/>
          <w:sz w:val="22"/>
        </w:rPr>
      </w:pPr>
      <w:r w:rsidRPr="00807125">
        <w:rPr>
          <w:b/>
          <w:sz w:val="22"/>
        </w:rPr>
        <w:t>5) Handhaving van verplichtingen</w:t>
      </w:r>
    </w:p>
    <w:p w:rsidR="00704A92" w:rsidRPr="00807125" w:rsidRDefault="00704A92" w:rsidP="00807125">
      <w:pPr>
        <w:rPr>
          <w:b/>
          <w:sz w:val="22"/>
        </w:rPr>
      </w:pPr>
    </w:p>
    <w:p w:rsidR="00704A92" w:rsidRPr="00807125" w:rsidRDefault="00704A92" w:rsidP="00807125">
      <w:pPr>
        <w:rPr>
          <w:b/>
          <w:sz w:val="22"/>
        </w:rPr>
      </w:pPr>
      <w:r w:rsidRPr="00807125">
        <w:rPr>
          <w:b/>
          <w:sz w:val="22"/>
        </w:rPr>
        <w:t>Innovaties van WTO governance</w:t>
      </w:r>
    </w:p>
    <w:p w:rsidR="00704A92" w:rsidRPr="00807125" w:rsidRDefault="00704A92" w:rsidP="00807125">
      <w:pPr>
        <w:rPr>
          <w:sz w:val="22"/>
        </w:rPr>
      </w:pPr>
      <w:r w:rsidRPr="00807125">
        <w:rPr>
          <w:sz w:val="22"/>
        </w:rPr>
        <w:t>Top besluitvormingslichaam: Raad van ministers (komen om de 2jaar samen)</w:t>
      </w:r>
    </w:p>
    <w:p w:rsidR="00704A92" w:rsidRPr="00807125" w:rsidRDefault="00704A92" w:rsidP="00807125">
      <w:pPr>
        <w:rPr>
          <w:sz w:val="22"/>
        </w:rPr>
      </w:pPr>
      <w:r w:rsidRPr="00807125">
        <w:rPr>
          <w:sz w:val="22"/>
        </w:rPr>
        <w:t>Raadvergaderingen en ministeriële vergaderingen geven de WTO een politieke prominentie die ontbrak bij GATT.</w:t>
      </w:r>
    </w:p>
    <w:p w:rsidR="00704A92" w:rsidRPr="00807125" w:rsidRDefault="00704A92" w:rsidP="00807125">
      <w:pPr>
        <w:rPr>
          <w:sz w:val="22"/>
        </w:rPr>
      </w:pPr>
    </w:p>
    <w:p w:rsidR="00704A92" w:rsidRPr="00807125" w:rsidRDefault="00704A92" w:rsidP="00807125">
      <w:pPr>
        <w:rPr>
          <w:sz w:val="22"/>
        </w:rPr>
      </w:pPr>
      <w:r w:rsidRPr="00807125">
        <w:rPr>
          <w:sz w:val="22"/>
        </w:rPr>
        <w:t xml:space="preserve">‡ IMF en de Wereldbank: één staat, één stem organisatie en besluitvorming gebeurt bij consensus </w:t>
      </w:r>
      <w:r w:rsidRPr="00807125">
        <w:rPr>
          <w:sz w:val="22"/>
        </w:rPr>
        <w:sym w:font="Wingdings" w:char="F0E0"/>
      </w:r>
      <w:r w:rsidRPr="00807125">
        <w:rPr>
          <w:sz w:val="22"/>
        </w:rPr>
        <w:t xml:space="preserve"> Tijdens alle meetings heeft elk lidstaat het recht om een vergadering bij te wonen, om te interveniëren, om initiatieven te nemen, om voorstellen  te maken en voorstellen terug te trekken en om consensus te blokkeren. </w:t>
      </w:r>
    </w:p>
    <w:p w:rsidR="00704A92" w:rsidRPr="00807125" w:rsidRDefault="00704A92" w:rsidP="00807125">
      <w:pPr>
        <w:rPr>
          <w:sz w:val="22"/>
        </w:rPr>
      </w:pPr>
    </w:p>
    <w:p w:rsidR="00704A92" w:rsidRPr="00807125" w:rsidRDefault="00704A92" w:rsidP="00807125">
      <w:pPr>
        <w:rPr>
          <w:sz w:val="22"/>
        </w:rPr>
      </w:pPr>
      <w:r w:rsidRPr="00807125">
        <w:rPr>
          <w:sz w:val="22"/>
        </w:rPr>
        <w:t>Meest belangrijke organisatorische innovaties:</w:t>
      </w:r>
    </w:p>
    <w:p w:rsidR="00704A92" w:rsidRPr="00807125" w:rsidRDefault="00704A92" w:rsidP="00807125">
      <w:pPr>
        <w:rPr>
          <w:sz w:val="22"/>
        </w:rPr>
      </w:pPr>
      <w:r w:rsidRPr="00807125">
        <w:rPr>
          <w:b/>
          <w:sz w:val="22"/>
        </w:rPr>
        <w:t xml:space="preserve">1) Trade Policy Review Mechanism: </w:t>
      </w:r>
      <w:r w:rsidRPr="00807125">
        <w:rPr>
          <w:sz w:val="22"/>
        </w:rPr>
        <w:t>voert een periodieke toezicht op de handelspraktijken van lidstaten op basis van periodieke verslagen van lidstaten. In dit forum kunnen staten elkaar vragen stellen over hun handelspraktijken en kunnen leren hoe ze handelsregulaties moeten opstellen.</w:t>
      </w:r>
    </w:p>
    <w:p w:rsidR="00704A92" w:rsidRPr="00807125" w:rsidRDefault="00704A92" w:rsidP="00807125">
      <w:pPr>
        <w:rPr>
          <w:b/>
          <w:sz w:val="22"/>
        </w:rPr>
      </w:pPr>
    </w:p>
    <w:p w:rsidR="00704A92" w:rsidRPr="00807125" w:rsidRDefault="00704A92" w:rsidP="00807125">
      <w:pPr>
        <w:rPr>
          <w:b/>
          <w:sz w:val="22"/>
        </w:rPr>
      </w:pPr>
      <w:r w:rsidRPr="00807125">
        <w:rPr>
          <w:b/>
          <w:sz w:val="22"/>
        </w:rPr>
        <w:t>2) Dispute Settlement Unit:</w:t>
      </w:r>
    </w:p>
    <w:p w:rsidR="00704A92" w:rsidRPr="00807125" w:rsidRDefault="00704A92" w:rsidP="00807125">
      <w:pPr>
        <w:rPr>
          <w:sz w:val="22"/>
        </w:rPr>
      </w:pPr>
      <w:r w:rsidRPr="00807125">
        <w:rPr>
          <w:sz w:val="22"/>
        </w:rPr>
        <w:t xml:space="preserve">- Dispute Settlement Body bestaande uit vertegenwoordigers van alle leden van de WTO: diplomatisch opties zoeken om geschillen op te lossen. Wanneer alle opties uitgeput zijn </w:t>
      </w:r>
      <w:r w:rsidRPr="00807125">
        <w:rPr>
          <w:sz w:val="22"/>
        </w:rPr>
        <w:sym w:font="Wingdings" w:char="F0E0"/>
      </w:r>
      <w:r w:rsidRPr="00807125">
        <w:rPr>
          <w:sz w:val="22"/>
        </w:rPr>
        <w:t xml:space="preserve"> een ad hoc groep van 3 experts die verkozen zijn door verschillende partijen, wordt bijeengeroepen. </w:t>
      </w:r>
    </w:p>
    <w:p w:rsidR="00704A92" w:rsidRPr="00807125" w:rsidRDefault="00704A92" w:rsidP="00807125">
      <w:pPr>
        <w:rPr>
          <w:sz w:val="22"/>
        </w:rPr>
      </w:pPr>
    </w:p>
    <w:p w:rsidR="00704A92" w:rsidRPr="00807125" w:rsidRDefault="00704A92" w:rsidP="00807125">
      <w:pPr>
        <w:rPr>
          <w:sz w:val="22"/>
        </w:rPr>
      </w:pPr>
      <w:r w:rsidRPr="00807125">
        <w:rPr>
          <w:sz w:val="22"/>
        </w:rPr>
        <w:t>- Appelate Body bestaande uit 7 personen: beslissingen zijn enkel bindend wanneer deze worden overgenomen dmv consensus in de Dispute Settlement Body.</w:t>
      </w:r>
    </w:p>
    <w:p w:rsidR="00704A92" w:rsidRPr="00807125" w:rsidRDefault="00704A92" w:rsidP="00807125">
      <w:pPr>
        <w:rPr>
          <w:sz w:val="22"/>
        </w:rPr>
      </w:pPr>
    </w:p>
    <w:p w:rsidR="00704A92" w:rsidRPr="00807125" w:rsidRDefault="00704A92" w:rsidP="00807125">
      <w:pPr>
        <w:rPr>
          <w:sz w:val="22"/>
        </w:rPr>
      </w:pPr>
      <w:r w:rsidRPr="00807125">
        <w:rPr>
          <w:sz w:val="22"/>
        </w:rPr>
        <w:sym w:font="Wingdings" w:char="F0E0"/>
      </w:r>
      <w:r w:rsidRPr="00807125">
        <w:rPr>
          <w:sz w:val="22"/>
        </w:rPr>
        <w:t xml:space="preserve"> Na deze 2 stappen: partijen zijn verplicht om de aanbevelingen op te volgen.</w:t>
      </w:r>
    </w:p>
    <w:p w:rsidR="00704A92" w:rsidRPr="00807125" w:rsidRDefault="00704A92" w:rsidP="00807125">
      <w:pPr>
        <w:rPr>
          <w:sz w:val="22"/>
        </w:rPr>
      </w:pPr>
      <w:r w:rsidRPr="00807125">
        <w:rPr>
          <w:sz w:val="22"/>
        </w:rPr>
        <w:t xml:space="preserve">Eén van de belangrijkste kwesties: onderscheid tussen product en proces, WTO regels verbieden landen om een product verbieden omwille van het proces waarmee het geproduceerd is. </w:t>
      </w:r>
    </w:p>
    <w:p w:rsidR="00704A92" w:rsidRPr="00807125" w:rsidRDefault="00704A92" w:rsidP="00807125">
      <w:pPr>
        <w:rPr>
          <w:sz w:val="22"/>
        </w:rPr>
      </w:pPr>
    </w:p>
    <w:p w:rsidR="00704A92" w:rsidRPr="00807125" w:rsidRDefault="00704A92" w:rsidP="00807125">
      <w:pPr>
        <w:rPr>
          <w:sz w:val="22"/>
        </w:rPr>
      </w:pPr>
      <w:r w:rsidRPr="00807125">
        <w:rPr>
          <w:sz w:val="22"/>
        </w:rPr>
        <w:sym w:font="Wingdings" w:char="F0E0"/>
      </w:r>
      <w:r w:rsidRPr="00807125">
        <w:rPr>
          <w:sz w:val="22"/>
        </w:rPr>
        <w:t xml:space="preserve"> 1989: de EU verbiedt rundvlees op basis van hormonen voor gezondheidsredenen </w:t>
      </w:r>
      <w:r w:rsidRPr="00807125">
        <w:rPr>
          <w:sz w:val="22"/>
        </w:rPr>
        <w:sym w:font="Wingdings" w:char="F0E0"/>
      </w:r>
      <w:r w:rsidRPr="00807125">
        <w:rPr>
          <w:sz w:val="22"/>
        </w:rPr>
        <w:t xml:space="preserve"> De VS protesteerde. In 1996 kwam de WTO op voor de VS met de vermelding dat er geen wetenschappelijk bewijs was voor het verband tussen rundhormonen en de gezondheid van de mens. In 1999 verhoogde de VS importtarieven op producten van de EU. In 2003: de EU maakte haar verbod op rundvlees op basis van hormonen, weer goed maar in 2008 bevestigde een WTO-panel de Amerikaanse positie dat het herziene verbod niet wetenschappelijk verantwoord was en daarom niet consistent is met de regels van de WTO. </w:t>
      </w:r>
    </w:p>
    <w:p w:rsidR="00704A92" w:rsidRPr="00807125" w:rsidRDefault="00704A92" w:rsidP="00807125">
      <w:pPr>
        <w:rPr>
          <w:b/>
          <w:sz w:val="22"/>
        </w:rPr>
      </w:pPr>
    </w:p>
    <w:p w:rsidR="00704A92" w:rsidRPr="00807125" w:rsidRDefault="00704A92" w:rsidP="00807125">
      <w:pPr>
        <w:rPr>
          <w:b/>
          <w:sz w:val="22"/>
        </w:rPr>
      </w:pPr>
      <w:r w:rsidRPr="00807125">
        <w:rPr>
          <w:b/>
          <w:sz w:val="22"/>
        </w:rPr>
        <w:t>WTO beleidsterreinen</w:t>
      </w:r>
    </w:p>
    <w:p w:rsidR="00704A92" w:rsidRPr="00807125" w:rsidRDefault="00704A92" w:rsidP="00807125">
      <w:pPr>
        <w:rPr>
          <w:sz w:val="22"/>
        </w:rPr>
      </w:pPr>
      <w:r w:rsidRPr="00807125">
        <w:rPr>
          <w:sz w:val="22"/>
        </w:rPr>
        <w:t xml:space="preserve">1994: TRIPS overeenkomst introduceerde intellectueel eigendomsrechten in het handelssysteem voor de eerste keer  </w:t>
      </w:r>
      <w:r w:rsidRPr="00807125">
        <w:rPr>
          <w:sz w:val="22"/>
        </w:rPr>
        <w:sym w:font="Wingdings" w:char="F0E0"/>
      </w:r>
      <w:r w:rsidRPr="00807125">
        <w:rPr>
          <w:sz w:val="22"/>
        </w:rPr>
        <w:t xml:space="preserve"> belangrijk voor ontwikkelde landen en multinationals. </w:t>
      </w:r>
    </w:p>
    <w:p w:rsidR="00704A92" w:rsidRPr="00807125" w:rsidRDefault="00704A92" w:rsidP="00807125">
      <w:pPr>
        <w:rPr>
          <w:sz w:val="22"/>
        </w:rPr>
      </w:pPr>
    </w:p>
    <w:p w:rsidR="00704A92" w:rsidRPr="00807125" w:rsidRDefault="00704A92" w:rsidP="00807125">
      <w:pPr>
        <w:rPr>
          <w:sz w:val="22"/>
        </w:rPr>
      </w:pPr>
      <w:r w:rsidRPr="00807125">
        <w:rPr>
          <w:sz w:val="22"/>
        </w:rPr>
        <w:t xml:space="preserve">Intellectueel eigendom: patenten, handelsmerken, creatieve materialen (boeken CD’s, video’s) en software. </w:t>
      </w:r>
    </w:p>
    <w:p w:rsidR="00704A92" w:rsidRPr="00807125" w:rsidRDefault="00704A92" w:rsidP="00807125">
      <w:pPr>
        <w:rPr>
          <w:sz w:val="22"/>
        </w:rPr>
      </w:pPr>
    </w:p>
    <w:p w:rsidR="00704A92" w:rsidRPr="00807125" w:rsidRDefault="00704A92" w:rsidP="00807125">
      <w:pPr>
        <w:rPr>
          <w:sz w:val="22"/>
        </w:rPr>
      </w:pPr>
      <w:r w:rsidRPr="00807125">
        <w:rPr>
          <w:sz w:val="22"/>
        </w:rPr>
        <w:t xml:space="preserve">Ontwikkelde landen hadden één jaar de tijd om deze regels te implementeren, de minder ontwikkelde landen kregen tijd tot 2006 en tot 2016 voor farmaceutische middelen. </w:t>
      </w:r>
    </w:p>
    <w:p w:rsidR="00704A92" w:rsidRPr="00807125" w:rsidRDefault="00704A92" w:rsidP="00807125">
      <w:pPr>
        <w:rPr>
          <w:sz w:val="22"/>
        </w:rPr>
      </w:pPr>
    </w:p>
    <w:p w:rsidR="00704A92" w:rsidRPr="00807125" w:rsidRDefault="00704A92" w:rsidP="00807125">
      <w:pPr>
        <w:rPr>
          <w:sz w:val="22"/>
        </w:rPr>
      </w:pPr>
      <w:r w:rsidRPr="00807125">
        <w:rPr>
          <w:sz w:val="22"/>
        </w:rPr>
        <w:t xml:space="preserve">Voor het beschermen van winsten en marktaandeel, pleiten multinationals niet alleen voor de harmonisatie van internationale intellectuele eigendomsrechten, maar ook voor het verhogen van deze maatregelen. </w:t>
      </w:r>
    </w:p>
    <w:p w:rsidR="00704A92" w:rsidRPr="00807125" w:rsidRDefault="00704A92" w:rsidP="00807125">
      <w:pPr>
        <w:rPr>
          <w:sz w:val="22"/>
        </w:rPr>
      </w:pPr>
    </w:p>
    <w:p w:rsidR="00704A92" w:rsidRPr="00807125" w:rsidRDefault="00704A92" w:rsidP="00807125">
      <w:pPr>
        <w:rPr>
          <w:sz w:val="22"/>
        </w:rPr>
      </w:pPr>
      <w:r w:rsidRPr="00807125">
        <w:rPr>
          <w:sz w:val="22"/>
        </w:rPr>
        <w:t xml:space="preserve">WIPO (World Intellectual Property Organization) = gespecialiseerd agentschap van de VN, gebrek aan bindende en effectieve geschillenresolutie procedures. </w:t>
      </w:r>
    </w:p>
    <w:p w:rsidR="00704A92" w:rsidRPr="00807125" w:rsidRDefault="00704A92" w:rsidP="00807125">
      <w:pPr>
        <w:rPr>
          <w:sz w:val="22"/>
        </w:rPr>
      </w:pPr>
    </w:p>
    <w:p w:rsidR="00704A92" w:rsidRPr="00807125" w:rsidRDefault="00704A92" w:rsidP="00807125">
      <w:pPr>
        <w:rPr>
          <w:sz w:val="22"/>
        </w:rPr>
      </w:pPr>
      <w:r w:rsidRPr="00807125">
        <w:rPr>
          <w:sz w:val="22"/>
        </w:rPr>
        <w:sym w:font="Wingdings" w:char="F0E0"/>
      </w:r>
      <w:r w:rsidRPr="00807125">
        <w:rPr>
          <w:sz w:val="22"/>
        </w:rPr>
        <w:t xml:space="preserve"> Bij veel nationale gerechtelijke instellingen, waar strafzetting zich daadwerkelijk voordoet, is er ook een gebrek aan capaciteit om regels af te dwingen.</w:t>
      </w:r>
    </w:p>
    <w:p w:rsidR="00704A92" w:rsidRPr="00807125" w:rsidRDefault="00704A92" w:rsidP="00807125">
      <w:pPr>
        <w:rPr>
          <w:b/>
          <w:sz w:val="22"/>
        </w:rPr>
      </w:pPr>
    </w:p>
    <w:p w:rsidR="00704A92" w:rsidRPr="00807125" w:rsidRDefault="00704A92" w:rsidP="00807125">
      <w:pPr>
        <w:rPr>
          <w:b/>
          <w:sz w:val="22"/>
        </w:rPr>
      </w:pPr>
      <w:r w:rsidRPr="00807125">
        <w:rPr>
          <w:b/>
          <w:sz w:val="22"/>
        </w:rPr>
        <w:t>De uitbreiding van het globale handelssysteem: complexe WTO onderhandelingen</w:t>
      </w:r>
    </w:p>
    <w:p w:rsidR="00704A92" w:rsidRPr="00807125" w:rsidRDefault="00704A92" w:rsidP="00807125">
      <w:pPr>
        <w:rPr>
          <w:sz w:val="22"/>
        </w:rPr>
      </w:pPr>
      <w:r w:rsidRPr="00807125">
        <w:rPr>
          <w:sz w:val="22"/>
        </w:rPr>
        <w:t xml:space="preserve">De toelating van China tot de WTO na 15 jaar te onderhandelen was complex door de grootte van haar economie en de voortdurende overgang van een planeconomie naar een open markteconomie. </w:t>
      </w:r>
    </w:p>
    <w:p w:rsidR="00704A92" w:rsidRPr="00807125" w:rsidRDefault="00704A92" w:rsidP="00807125">
      <w:pPr>
        <w:rPr>
          <w:sz w:val="22"/>
        </w:rPr>
      </w:pPr>
    </w:p>
    <w:p w:rsidR="00704A92" w:rsidRPr="00807125" w:rsidRDefault="00704A92" w:rsidP="00807125">
      <w:pPr>
        <w:rPr>
          <w:sz w:val="22"/>
        </w:rPr>
      </w:pPr>
      <w:r w:rsidRPr="00807125">
        <w:rPr>
          <w:sz w:val="22"/>
        </w:rPr>
        <w:t>Vietnam trad toe tot de WTO in 2007.</w:t>
      </w:r>
    </w:p>
    <w:p w:rsidR="00704A92" w:rsidRPr="00807125" w:rsidRDefault="00704A92" w:rsidP="00807125">
      <w:pPr>
        <w:rPr>
          <w:sz w:val="22"/>
        </w:rPr>
      </w:pPr>
    </w:p>
    <w:p w:rsidR="00704A92" w:rsidRPr="00807125" w:rsidRDefault="00704A92" w:rsidP="00807125">
      <w:pPr>
        <w:rPr>
          <w:sz w:val="22"/>
        </w:rPr>
      </w:pPr>
      <w:r w:rsidRPr="00807125">
        <w:rPr>
          <w:sz w:val="22"/>
        </w:rPr>
        <w:t xml:space="preserve">Rusland is het enigste belangrijke land dat niet tot de WTO behoort, ondanks onderhandelingen gedurende 16 jaar. </w:t>
      </w:r>
    </w:p>
    <w:p w:rsidR="00704A92" w:rsidRPr="00807125" w:rsidRDefault="00704A92" w:rsidP="00807125">
      <w:pPr>
        <w:rPr>
          <w:b/>
          <w:sz w:val="22"/>
        </w:rPr>
      </w:pPr>
    </w:p>
    <w:p w:rsidR="00704A92" w:rsidRPr="00807125" w:rsidRDefault="00704A92" w:rsidP="00807125">
      <w:pPr>
        <w:rPr>
          <w:b/>
          <w:sz w:val="22"/>
        </w:rPr>
      </w:pPr>
      <w:r w:rsidRPr="00807125">
        <w:rPr>
          <w:b/>
          <w:sz w:val="22"/>
        </w:rPr>
        <w:t>Kritieken op de WTO</w:t>
      </w:r>
    </w:p>
    <w:p w:rsidR="00704A92" w:rsidRPr="00807125" w:rsidRDefault="00704A92" w:rsidP="00807125">
      <w:pPr>
        <w:rPr>
          <w:sz w:val="22"/>
        </w:rPr>
      </w:pPr>
      <w:r w:rsidRPr="00807125">
        <w:rPr>
          <w:sz w:val="22"/>
        </w:rPr>
        <w:t xml:space="preserve">Veel landen zien de WTO als een ‘samenvatting’ van negatieve gevolgen van economische globalisering, het onrechtvaardig verkrijgen van staat soevereiniteit, binnenlandse belangen en individuen en de het bevoorrechten van de belangen van belangrijke ontwikkelde landen tegenover arme landen. </w:t>
      </w:r>
    </w:p>
    <w:p w:rsidR="00704A92" w:rsidRPr="00807125" w:rsidRDefault="00704A92" w:rsidP="00807125">
      <w:pPr>
        <w:rPr>
          <w:sz w:val="22"/>
        </w:rPr>
      </w:pPr>
    </w:p>
    <w:p w:rsidR="00704A92" w:rsidRPr="00807125" w:rsidRDefault="00704A92" w:rsidP="00807125">
      <w:pPr>
        <w:rPr>
          <w:sz w:val="22"/>
        </w:rPr>
      </w:pPr>
      <w:r w:rsidRPr="00807125">
        <w:rPr>
          <w:sz w:val="22"/>
        </w:rPr>
        <w:t>Anti-globalisatie NGo’s zijn de grootste tegenstanders van WTO activiteiten, ze zeggen dat de macht van de WTO om regulaties te maken die consequenties hebben en geschillen vestigen met autoritaire maatregelen, een verstoring is van nationale soevereiniteit + kritiek op gebrek aan transparantie van WTO procedures.</w:t>
      </w:r>
    </w:p>
    <w:p w:rsidR="00704A92" w:rsidRPr="00807125" w:rsidRDefault="00704A92" w:rsidP="00807125">
      <w:pPr>
        <w:rPr>
          <w:sz w:val="22"/>
        </w:rPr>
      </w:pPr>
    </w:p>
    <w:p w:rsidR="00704A92" w:rsidRPr="00807125" w:rsidRDefault="00704A92" w:rsidP="00807125">
      <w:pPr>
        <w:rPr>
          <w:sz w:val="22"/>
        </w:rPr>
      </w:pPr>
      <w:r w:rsidRPr="00807125">
        <w:rPr>
          <w:sz w:val="22"/>
        </w:rPr>
        <w:t xml:space="preserve">Arbeidersbewegingen en milieugroepen zijn ook tegenstanders , ze vinden dat de WTO economische liberalisatie verkiest boven sociale waarden. </w:t>
      </w:r>
    </w:p>
    <w:p w:rsidR="00704A92" w:rsidRPr="00807125" w:rsidRDefault="00704A92" w:rsidP="00807125">
      <w:pPr>
        <w:rPr>
          <w:b/>
          <w:sz w:val="22"/>
        </w:rPr>
      </w:pPr>
    </w:p>
    <w:p w:rsidR="00704A92" w:rsidRPr="00807125" w:rsidRDefault="00704A92" w:rsidP="00807125">
      <w:pPr>
        <w:rPr>
          <w:b/>
          <w:sz w:val="22"/>
        </w:rPr>
      </w:pPr>
      <w:r w:rsidRPr="00807125">
        <w:rPr>
          <w:b/>
          <w:sz w:val="22"/>
        </w:rPr>
        <w:t>Macro-economische beleidscoördinatie: de rol van de G7</w:t>
      </w:r>
    </w:p>
    <w:p w:rsidR="00704A92" w:rsidRPr="00807125" w:rsidRDefault="00704A92" w:rsidP="00807125">
      <w:pPr>
        <w:rPr>
          <w:sz w:val="22"/>
        </w:rPr>
      </w:pPr>
      <w:r w:rsidRPr="00807125">
        <w:rPr>
          <w:sz w:val="22"/>
        </w:rPr>
        <w:t xml:space="preserve">G7: informele institutie dat geen verdrag heeft, heeft een beperkte bureaucratische structuur om te helpen bij de voorbereiding van bijeenkomsten van de top, en heeft ook geen permanente secretariaat. </w:t>
      </w:r>
    </w:p>
    <w:p w:rsidR="00704A92" w:rsidRPr="00807125" w:rsidRDefault="00704A92" w:rsidP="00807125">
      <w:pPr>
        <w:rPr>
          <w:sz w:val="22"/>
        </w:rPr>
      </w:pPr>
    </w:p>
    <w:p w:rsidR="00704A92" w:rsidRPr="00807125" w:rsidRDefault="00704A92" w:rsidP="00807125">
      <w:pPr>
        <w:rPr>
          <w:sz w:val="22"/>
        </w:rPr>
      </w:pPr>
      <w:r w:rsidRPr="00807125">
        <w:rPr>
          <w:sz w:val="22"/>
        </w:rPr>
        <w:t xml:space="preserve">Leden: de VS, het VK, Frankrijk, Duitsland, Italië, Canada en Japan </w:t>
      </w:r>
      <w:r w:rsidRPr="00807125">
        <w:rPr>
          <w:sz w:val="22"/>
        </w:rPr>
        <w:sym w:font="Wingdings" w:char="F0E0"/>
      </w:r>
      <w:r w:rsidRPr="00807125">
        <w:rPr>
          <w:sz w:val="22"/>
        </w:rPr>
        <w:t xml:space="preserve"> Zelfbenoemde leiders  van internationale economische governance. Sommigen beweren dat als Rusland mee deelneemt voor politieke discussies (en dan wordt het de G8), dan wordt de groep in het algemeen het middelpunt van global governance. </w:t>
      </w:r>
    </w:p>
    <w:p w:rsidR="00704A92" w:rsidRPr="00807125" w:rsidRDefault="00704A92" w:rsidP="00807125">
      <w:pPr>
        <w:rPr>
          <w:sz w:val="22"/>
        </w:rPr>
      </w:pPr>
    </w:p>
    <w:p w:rsidR="00704A92" w:rsidRPr="00807125" w:rsidRDefault="00704A92" w:rsidP="00807125">
      <w:pPr>
        <w:rPr>
          <w:sz w:val="22"/>
        </w:rPr>
      </w:pPr>
      <w:r w:rsidRPr="00807125">
        <w:rPr>
          <w:sz w:val="22"/>
        </w:rPr>
        <w:t xml:space="preserve">Opgericht in 1975 door de toenmalige Franse president Valéry Giscard d’Estaing tijdens de financiële crisis. </w:t>
      </w:r>
    </w:p>
    <w:p w:rsidR="00704A92" w:rsidRPr="00807125" w:rsidRDefault="00704A92" w:rsidP="00807125">
      <w:pPr>
        <w:rPr>
          <w:sz w:val="22"/>
        </w:rPr>
      </w:pPr>
    </w:p>
    <w:p w:rsidR="00704A92" w:rsidRPr="00807125" w:rsidRDefault="00704A92" w:rsidP="00807125">
      <w:pPr>
        <w:rPr>
          <w:sz w:val="22"/>
        </w:rPr>
      </w:pPr>
      <w:r w:rsidRPr="00807125">
        <w:rPr>
          <w:sz w:val="22"/>
        </w:rPr>
        <w:t>De rol van de G7 in internationaal economische governance: overleg op hoog niveau voor het behandelen van problemen waarvan wordt gesuggereerd dat ze door  overheidsambtenaren op lagere niveau opgelost worden, het vermogen van de G7 om crisissen te beheersen, om nieuwe problemen aan te pakken in een vroeg stadium en om instituties zoals het IMF en de Wereldbank aan te sporen om actie te ondernemen. Er is ook sprake van persoonlijke relaties tussen leiders en ze kunnen van elkaars ervaring leren.</w:t>
      </w:r>
    </w:p>
    <w:p w:rsidR="00704A92" w:rsidRPr="00807125" w:rsidRDefault="00704A92" w:rsidP="00807125">
      <w:pPr>
        <w:rPr>
          <w:sz w:val="22"/>
        </w:rPr>
      </w:pPr>
    </w:p>
    <w:p w:rsidR="00704A92" w:rsidRPr="00B66B48" w:rsidRDefault="00704A92" w:rsidP="00807125"/>
    <w:p w:rsidR="00704A92" w:rsidRPr="00896979" w:rsidRDefault="00704A92" w:rsidP="00807125"/>
    <w:p w:rsidR="00704A92" w:rsidRPr="001D4745" w:rsidRDefault="00704A92" w:rsidP="00807125"/>
    <w:p w:rsidR="00704A92" w:rsidRDefault="00704A92" w:rsidP="00331B44"/>
    <w:p w:rsidR="00704A92" w:rsidRDefault="00704A92" w:rsidP="00331B44"/>
    <w:p w:rsidR="00704A92" w:rsidRDefault="00704A92" w:rsidP="00331B44"/>
    <w:p w:rsidR="00704A92" w:rsidRDefault="00704A92" w:rsidP="00331B44"/>
    <w:p w:rsidR="00704A92" w:rsidRDefault="00704A92" w:rsidP="00331B44"/>
    <w:p w:rsidR="00704A92" w:rsidRDefault="00704A92" w:rsidP="00331B44"/>
    <w:p w:rsidR="00704A92" w:rsidRPr="00331B44" w:rsidRDefault="00704A92" w:rsidP="00331B44"/>
    <w:p w:rsidR="00704A92" w:rsidRDefault="00704A92" w:rsidP="00D02F73">
      <w:pPr>
        <w:pStyle w:val="Heading1"/>
      </w:pPr>
      <w:r>
        <w:br w:type="page"/>
      </w:r>
      <w:bookmarkStart w:id="7" w:name="_Toc296090837"/>
      <w:r>
        <w:t>H16: Ontwikkelingslanden en economieën in transitie</w:t>
      </w:r>
      <w:bookmarkEnd w:id="7"/>
    </w:p>
    <w:p w:rsidR="00704A92" w:rsidRDefault="00704A92" w:rsidP="00D02F73">
      <w:pPr>
        <w:rPr>
          <w:szCs w:val="20"/>
        </w:rPr>
      </w:pPr>
      <w:r w:rsidRPr="00D02F73">
        <w:rPr>
          <w:szCs w:val="20"/>
        </w:rPr>
        <w:t>Voor lange tijd was de GATT voor</w:t>
      </w:r>
      <w:r>
        <w:rPr>
          <w:szCs w:val="20"/>
        </w:rPr>
        <w:t>al</w:t>
      </w:r>
      <w:r w:rsidRPr="00D02F73">
        <w:rPr>
          <w:szCs w:val="20"/>
        </w:rPr>
        <w:t xml:space="preserve"> relevant voor de OECD landen. Ontwikkelingslanden deden niet volledig mee met de uitwisseling van concessies in onderhandelingen, hoewel ze profiteerden van algemeen toepasbare nationale behandelingen en MFN disciplines. Dit veranderde met de creatie van het WTO. Ontwikkelingslanden werden deel van een groot aantal van verplichtingen. De daaruit resulterende implementatie ‘overhang’ had significante repercussies voor de organisatie, wat resulteerde</w:t>
      </w:r>
      <w:r>
        <w:rPr>
          <w:szCs w:val="20"/>
        </w:rPr>
        <w:t xml:space="preserve"> in ontwikkelingsbezorgdheid dat</w:t>
      </w:r>
      <w:r w:rsidRPr="00D02F73">
        <w:rPr>
          <w:szCs w:val="20"/>
        </w:rPr>
        <w:t xml:space="preserve"> een meer pr</w:t>
      </w:r>
      <w:r>
        <w:rPr>
          <w:szCs w:val="20"/>
        </w:rPr>
        <w:t>ominent item op de agenda werd</w:t>
      </w:r>
      <w:r w:rsidRPr="00D02F73">
        <w:rPr>
          <w:szCs w:val="20"/>
        </w:rPr>
        <w:t xml:space="preserve"> en de creatie van mechanismes om assistentie te voorzien voor ontwikkelingslanden (die lid waren).</w:t>
      </w:r>
      <w:r>
        <w:rPr>
          <w:szCs w:val="20"/>
        </w:rPr>
        <w:t xml:space="preserve"> De implementatieproblemen zijn deel van de bredere uitdaging van het integreren van ontwikkelende en transitie economieën in het globale handel systeem. Bijna alle landen staan meer open voor handel en FDI, maar de meerderheid heeft nog geen hoge groei of diversiteit in hun economieën gesteund.</w:t>
      </w:r>
    </w:p>
    <w:p w:rsidR="00704A92" w:rsidRDefault="00704A92" w:rsidP="00D02F73">
      <w:pPr>
        <w:rPr>
          <w:szCs w:val="20"/>
        </w:rPr>
      </w:pPr>
    </w:p>
    <w:p w:rsidR="00704A92" w:rsidRDefault="00704A92" w:rsidP="00D02F73">
      <w:pPr>
        <w:rPr>
          <w:szCs w:val="20"/>
        </w:rPr>
      </w:pPr>
      <w:r>
        <w:rPr>
          <w:szCs w:val="20"/>
        </w:rPr>
        <w:t xml:space="preserve">Hoewel er verschillende visies zijn op de gepaste rol van overheidinterventie om handel te steunen of herscholen, er is algemene overeenkomst over de sterke positieve associatie tussen economische ontwikkeling en handelsexpansie. Het WTO promoot handel en kan op dat vlak dus gezien worden als een institutie die ontwikkeling promoot. Hoewel, ondanks de sterke stijging in wereldhandel in de laatste 30 jaar en de stijgende participatie van ontwikkelingslanden in wereldhandel, zijn vele observatoren ongerust over de impact van de </w:t>
      </w:r>
    </w:p>
    <w:p w:rsidR="00704A92" w:rsidRDefault="00704A92" w:rsidP="00D02F73">
      <w:pPr>
        <w:rPr>
          <w:szCs w:val="20"/>
        </w:rPr>
      </w:pPr>
    </w:p>
    <w:p w:rsidR="00704A92" w:rsidRDefault="00704A92" w:rsidP="00D02F73">
      <w:pPr>
        <w:rPr>
          <w:szCs w:val="20"/>
        </w:rPr>
      </w:pPr>
      <w:r>
        <w:rPr>
          <w:szCs w:val="20"/>
        </w:rPr>
        <w:t>GATT/WTO op de economische ontwikkelingsvooruitzichten van arme landen.</w:t>
      </w:r>
    </w:p>
    <w:p w:rsidR="00704A92" w:rsidRDefault="00704A92" w:rsidP="00D02F73">
      <w:pPr>
        <w:rPr>
          <w:szCs w:val="20"/>
        </w:rPr>
      </w:pPr>
    </w:p>
    <w:p w:rsidR="00704A92" w:rsidRDefault="00704A92" w:rsidP="00D02F73">
      <w:pPr>
        <w:rPr>
          <w:szCs w:val="20"/>
        </w:rPr>
      </w:pPr>
      <w:r>
        <w:rPr>
          <w:szCs w:val="20"/>
        </w:rPr>
        <w:t xml:space="preserve">Deze bezorgdheden kunnen herleid worden tot 2 specifieke problemen: </w:t>
      </w:r>
    </w:p>
    <w:p w:rsidR="00704A92" w:rsidRDefault="00704A92" w:rsidP="0054324D">
      <w:pPr>
        <w:pStyle w:val="ListParagraph"/>
        <w:numPr>
          <w:ilvl w:val="0"/>
          <w:numId w:val="1"/>
        </w:numPr>
        <w:rPr>
          <w:szCs w:val="20"/>
        </w:rPr>
      </w:pPr>
      <w:r>
        <w:rPr>
          <w:szCs w:val="20"/>
        </w:rPr>
        <w:t xml:space="preserve">De focus van de institutie op het onderhandelen over markttoegang concessies op een wederkerige basis </w:t>
      </w:r>
      <w:r w:rsidRPr="009B6B7D">
        <w:rPr>
          <w:szCs w:val="20"/>
        </w:rPr>
        <w:sym w:font="Wingdings" w:char="F0E0"/>
      </w:r>
      <w:r>
        <w:rPr>
          <w:szCs w:val="20"/>
        </w:rPr>
        <w:t>bij kleine ontwikkelingslanden die ook maar weinig interesse hebben in een export perspectief, werkt het wederkerigheidssysteem niet. Dit kan men zien als een soort reflectie van de grote asymmetrie in macht tussen de WTO leden. Aangezien deze landen prijsnemers zijn, kunnen ze immers niet genoeg aanbieden om grote handelaars te induceren de toegang te verbeteren. Dit doet ook de waarde van het WTO als verbintenismechanisme dalen omdat het minder dwingende beweegredenen impliceert.</w:t>
      </w:r>
    </w:p>
    <w:p w:rsidR="00704A92" w:rsidRDefault="00704A92" w:rsidP="00A360B7">
      <w:pPr>
        <w:pStyle w:val="ListParagraph"/>
        <w:ind w:left="360"/>
        <w:rPr>
          <w:szCs w:val="20"/>
        </w:rPr>
      </w:pPr>
    </w:p>
    <w:p w:rsidR="00704A92" w:rsidRDefault="00704A92" w:rsidP="0054324D">
      <w:pPr>
        <w:pStyle w:val="ListParagraph"/>
        <w:numPr>
          <w:ilvl w:val="0"/>
          <w:numId w:val="1"/>
        </w:numPr>
        <w:rPr>
          <w:szCs w:val="20"/>
        </w:rPr>
      </w:pPr>
      <w:r>
        <w:rPr>
          <w:szCs w:val="20"/>
        </w:rPr>
        <w:t>Gemeenschappelijke beleidsdisciplines zijn misschien niet geschikt voor alle landen. De grenzen van het WTO gaan dus verder dan handelsbeleid. Hoewel harmonisatie van  een regulerend beleid negatieve spillovers op buitenlandse bedrijven kan reduceren, toch kunnen er sterke economische effectiviteitsratios zijn voor regulerende diversiteit. Zelfs wanneer harmonisatie welzijn bevorderend is, toch kan het de aanzet zijn tot asymmetrische implementatiekosten, en de last kan onevenredig vallen op arme landen.</w:t>
      </w:r>
    </w:p>
    <w:p w:rsidR="00704A92" w:rsidRDefault="00704A92" w:rsidP="00CD6B1F">
      <w:pPr>
        <w:pStyle w:val="Heading3"/>
      </w:pPr>
      <w:bookmarkStart w:id="8" w:name="_Toc296090838"/>
      <w:r>
        <w:t>Groeiend ledenaantal: WTO aanwinst</w:t>
      </w:r>
      <w:bookmarkEnd w:id="8"/>
    </w:p>
    <w:p w:rsidR="00704A92" w:rsidRDefault="00704A92" w:rsidP="00BB1C31">
      <w:r>
        <w:t xml:space="preserve">Ondanks de stevige debatten en verschillende bezorgdheden die werden uitgedrukt door de ontwikkelingslanden en NGOs over de ontwikkelingsrelevantie van het WTO, is er vaak opgemerkt dat er een lange rij van landen toegang tot de organisatie zoekt. Er staan 27 landen te wachten en 24 zijn toegetreden sinds de oprichting, allemaal ontwikkelingende en transitie economieën. Het toetredingsproces is complex en bronnen-intensief. De grootste uitdagingen die bestaande leden moeten aangaan in termen van het managen van de toeganf is tweeledig. </w:t>
      </w:r>
    </w:p>
    <w:p w:rsidR="00704A92" w:rsidRDefault="00704A92" w:rsidP="00BB1C31"/>
    <w:p w:rsidR="00704A92" w:rsidRDefault="00704A92" w:rsidP="00BB1C31">
      <w:pPr>
        <w:pStyle w:val="ListParagraph"/>
        <w:numPr>
          <w:ilvl w:val="0"/>
          <w:numId w:val="2"/>
        </w:numPr>
      </w:pPr>
      <w:r>
        <w:t>Integreren van grote landen met veel rijkdom zoals China, Rusland en Saudi-Arabië(de eerste en laatste zijn al toegetreden in 2001 en 2005)</w:t>
      </w:r>
    </w:p>
    <w:p w:rsidR="00704A92" w:rsidRDefault="00704A92" w:rsidP="00A360B7">
      <w:pPr>
        <w:pStyle w:val="ListParagraph"/>
        <w:ind w:left="360"/>
      </w:pPr>
    </w:p>
    <w:p w:rsidR="00704A92" w:rsidRDefault="00704A92" w:rsidP="00BB1C31">
      <w:pPr>
        <w:pStyle w:val="ListParagraph"/>
        <w:numPr>
          <w:ilvl w:val="0"/>
          <w:numId w:val="2"/>
        </w:numPr>
      </w:pPr>
      <w:r>
        <w:t>Het voorzien van rijkdommen aan LDCs op een gepaste manier</w:t>
      </w:r>
    </w:p>
    <w:p w:rsidR="00704A92" w:rsidRDefault="00704A92" w:rsidP="003F53FF">
      <w:pPr>
        <w:pStyle w:val="Subtitle"/>
        <w:rPr>
          <w:rStyle w:val="SubtleEmphasis"/>
        </w:rPr>
      </w:pPr>
    </w:p>
    <w:p w:rsidR="00704A92" w:rsidRPr="003F53FF" w:rsidRDefault="00704A92" w:rsidP="003F53FF">
      <w:pPr>
        <w:pStyle w:val="Subtitle"/>
        <w:rPr>
          <w:rStyle w:val="SubtleEmphasis"/>
        </w:rPr>
      </w:pPr>
      <w:r w:rsidRPr="003F53FF">
        <w:rPr>
          <w:rStyle w:val="SubtleEmphasis"/>
        </w:rPr>
        <w:t>China</w:t>
      </w:r>
    </w:p>
    <w:p w:rsidR="00704A92" w:rsidRDefault="00704A92" w:rsidP="00BB1C31">
      <w:r>
        <w:t>Was een stichtend lid van de GATT in 1947 maar stopte vlak erna met deelnemen wanneer het communisme aan de macht kwam. China was een ondertekenaar van de Uruguay Round overeenkomsten, dit reflecteerde het feit dat onderhandelingen over de toegang van het land tot de GATT initieerde tijdens de Round. De onderhandeling voor toegang waren moeilijk en duurden 14 jaar. Er zijn verschillende redenen hiervoor:</w:t>
      </w:r>
    </w:p>
    <w:p w:rsidR="00704A92" w:rsidRDefault="00704A92" w:rsidP="0003167E">
      <w:pPr>
        <w:pStyle w:val="ListParagraph"/>
        <w:numPr>
          <w:ilvl w:val="0"/>
          <w:numId w:val="3"/>
        </w:numPr>
      </w:pPr>
      <w:r>
        <w:t>De groei van prestatie en potentieel van hun export. China is immers een grote handelsstaat. Voor veel WTOleden is China de basis bron van arbeidsintensieve import wat grote druk zet op de binnelandse procedures. Hierdoor is het land vaak het doel van antidump en beschermingsmaatregelen. Omdat China geen lid was, moest deze bescherming immers niet voldoen aan de gebruikelijk WTO regels. Veel leden wouden China enkel accepteren als hun economie meer marktgebaseerd zou worden. Vertegenwoordigers van de business samenleving hadden de visie dat de WTO toegang gebruikt zou worden als een instrument om de Chinese markt open te stellen tot export en als mechanisme voor het bereiken van substantiële hervormingen. Vele onderhandelingen ging daarom niet enkel over markttoegang discussies, maar ook over de moeite die gedaan werd om basis wetten te veranderen, het ten uitvoer brengen van eigendomsrechten, het verhogen van doorzichtigheid en algemeen verzekeren dat een ‘level playing field’ zegevierde op de Chinese markt. Wanneer men weet dat de Chinese overheid hervormingen aan het doorvoeren was tijdens de onderhandelingsperiode, kan men dus stellen dat de regelgevende situatie een bewegend target was, wat het proces nog meer bemoeilijkte.</w:t>
      </w:r>
    </w:p>
    <w:p w:rsidR="00704A92" w:rsidRDefault="00704A92" w:rsidP="00A360B7">
      <w:pPr>
        <w:pStyle w:val="ListParagraph"/>
        <w:ind w:left="360"/>
      </w:pPr>
    </w:p>
    <w:p w:rsidR="00704A92" w:rsidRDefault="00704A92" w:rsidP="0003167E">
      <w:pPr>
        <w:pStyle w:val="ListParagraph"/>
        <w:numPr>
          <w:ilvl w:val="0"/>
          <w:numId w:val="3"/>
        </w:numPr>
      </w:pPr>
      <w:r>
        <w:t>China wil behandeld worden als ontwikkelingsland. Het eist lange transitieperiodes en speciale behandelingen. In vroege stadia van de onderhandelingen, weigerde het zelfs zich toe te wijden aan significante liberalisatie, deels om bargaining chips te houden en inefficiënte staatindustrieën te behouden. Ze wouden ook tariefbindingen significant boven de gebruikte ratio’s houden. Iets wat niet acceptabel was voor de WTO spelers.</w:t>
      </w:r>
    </w:p>
    <w:p w:rsidR="00704A92" w:rsidRDefault="00704A92" w:rsidP="00A360B7">
      <w:pPr>
        <w:pStyle w:val="ListParagraph"/>
        <w:ind w:left="360"/>
      </w:pPr>
    </w:p>
    <w:p w:rsidR="00704A92" w:rsidRDefault="00704A92" w:rsidP="0003167E">
      <w:pPr>
        <w:pStyle w:val="ListParagraph"/>
        <w:numPr>
          <w:ilvl w:val="0"/>
          <w:numId w:val="3"/>
        </w:numPr>
      </w:pPr>
      <w:r>
        <w:t>Non-economische overwegingen speelden een belangrijke rol in de onderhandelingen. Er was immers een dichte link met handel en de buitenlandse beleidshoudingen van ontwikkelde landen, vooral VS. Washington voorzag China niet van de onconditionele MFN status, omdat het Jackson Vanik amendement voor de Trade Act van 1974 de VS verbood onconditionele MFN behandelingen toe te staan aan niet-markteconomieën die geen vrije emigratie toestonden. Totdat het VS congres in 2000 permanente normale handelsrelatiestatussen goedkeurde, moest de MFN behandeling elk jaar hernieuwd worden door de president en was onderworpen aan goedkeuring van het congres, wat vaak een moeilijke strijd was aangezien MFN conditioneel gemaakt was uit China’s mensenrechtenrecord en andere buitenlandse beleidsoverwegingen. Protectionisme speelde ook een rol. De democratische partij, die sterke banden had met vakbonden, vreesde om beschuldigd te worden van het genereren van jobverlies door sterkere Chinese competitie.. The republikeinen waren zeer kritisch voor het geboortecontrole beleid van China en gebrek aan religieuze vrijheid. Dus zowel links als rechts stonden twijfelachtig tegenover het steunen van handel van China op MFN basis. De beslissingen van het congres om het toch door te voeren, was dan ook een doorbraak.</w:t>
      </w:r>
    </w:p>
    <w:p w:rsidR="00704A92" w:rsidRDefault="00704A92" w:rsidP="00A360B7">
      <w:pPr>
        <w:pStyle w:val="ListParagraph"/>
        <w:ind w:left="360"/>
      </w:pPr>
    </w:p>
    <w:p w:rsidR="00704A92" w:rsidRDefault="00704A92" w:rsidP="00A9631F">
      <w:r>
        <w:t>In de herfst van 2000 bereikte de onderhandelingen hun laatste fase. Het proces reflecteerde de bereidheid van China tot ver reikende toewijding. In principe mocht elk bedrijf in China vanaf nu alle goederen doorheen het land verhandelen. Het WTO toegangsprotocol bevatte echter ook uitgebreide pretoewijdingen door China naar liberalisatie toe. China verminderde ook de tarieven naar niveaus dicht bij de toegepaste MFN ratio’s.</w:t>
      </w:r>
    </w:p>
    <w:p w:rsidR="00704A92" w:rsidRDefault="00704A92" w:rsidP="00A9631F"/>
    <w:p w:rsidR="00704A92" w:rsidRDefault="00704A92" w:rsidP="00A9631F">
      <w:r>
        <w:t>De Chinese toegang is typerend in die zin dat het WTO-minus bepalingen omvat, wat inhoudt dat toegelaten leden akkoord gaan om zich te onthouden van rechten die andere WTO leden hebben onder multilaterale overeenkomsten. Bij China was dit nodig omdat een aantal WTO leden erop stonden dat ze voorwaardelijk bescherming konden opleggen op import van China op een niet WTO consistente manier. Zo kunnen WTO leden productspecifieke veiligheidsacties ondernemen op basis van marktverstoring, ipv de meer beperkte ‘ernstige schade’ criteria die door de WTO geëist worden over een 12-jarige periode. Hierdoor moesten de Chinese exporteurs bewijs leveren van te voldaan hebben aan markteconomie voorwaarden. Deze minus bepalingen treden in werking wanneer elk land China als markteconomie erkent of wanneer 15 jaar na de toegang.</w:t>
      </w:r>
    </w:p>
    <w:p w:rsidR="00704A92" w:rsidRDefault="00704A92" w:rsidP="00A9631F"/>
    <w:p w:rsidR="00704A92" w:rsidRDefault="00704A92" w:rsidP="00A9631F">
      <w:r>
        <w:t>De bepalingen zijn echter nog erger gemaakt door het MFN principe. Bezorgdheden van enkele leden die leidden tot deze veiligheidsmaatregelen werden uiteindelijk gemultilateraliseerd. Dit illustreert het onderhandelingsproces dat gepaard gaat met de toegang. Ondanks de vele beperkingen is China er echter toch in geslaagd een groot handelsland te worden, dus de bepalingen beperken de voordelen maar voor een beperkte periode. Veel belangrijker voor China was dat het toegangsproces gebruikt werd om een grote variatie aan binnenlandse beleidshervormingen door te voeren die China hielpen zijn hoge groeiratio te behouden.</w:t>
      </w:r>
    </w:p>
    <w:p w:rsidR="00704A92" w:rsidRDefault="00704A92" w:rsidP="00A9631F"/>
    <w:p w:rsidR="00704A92" w:rsidRDefault="00704A92" w:rsidP="003F53FF">
      <w:pPr>
        <w:pStyle w:val="Subtitle"/>
        <w:rPr>
          <w:rStyle w:val="SubtleEmphasis"/>
        </w:rPr>
      </w:pPr>
      <w:r w:rsidRPr="003F53FF">
        <w:rPr>
          <w:rStyle w:val="SubtleEmphasis"/>
        </w:rPr>
        <w:t>Rusland en het handelssysteem</w:t>
      </w:r>
    </w:p>
    <w:p w:rsidR="00704A92" w:rsidRDefault="00704A92" w:rsidP="003F53FF">
      <w:r>
        <w:t>De relatie tussen Rusland en het GATT kent een lange geschiedenis met sterke politieke boventonen. De Sovjetdelegatie nam actief deel in de Bretton-Woods conferentie die vooraf ging aan de creatie van het IMF en de Wereldbank. Moskou zou normaal deelnemen in de 2 B-W instituties en de toekomstige overeenkomsten voor het multilateraal handelssysteem, in die tijd favoriseerde de VS namelijk Sovjet participatie. De  Amerikaanse voorgestelde oorkonde dat als basisdocument diende voor de discussies in de London Conference(1946) over de ITO zag de monopolie van buitenlandse handel in de Sovjet Unie als vanzelfsprekend en bood technische overeenkomsten aan om het meer consistent te maken met non-discriminatie.</w:t>
      </w:r>
    </w:p>
    <w:p w:rsidR="00704A92" w:rsidRDefault="00704A92" w:rsidP="004C4629"/>
    <w:p w:rsidR="00704A92" w:rsidRDefault="00704A92" w:rsidP="004C4629">
      <w:r>
        <w:t>De Sovjet weigerde hierdoor de overeenkomsten van B-W te accepteren, bleef ook afwezig van conferenties in Londen en Havana en bleef weg van de onderhandelingen in Genève over de GATT. In die tijd geloofde Moskou immers dat participatie in naoorlogse economische orde het gevaar met zich mee bracht dat de VS economische en politiek kon uitbreiden in de Sovjet sfeer van invloed. Ook de verwachtingen van economische crisissen droeg bij tot het uitstelle van economische coöperatie. Ondanks de toenadering die gebeurde tussen zekere COMECON landen en de GATT in de jaren ’60 en ’70, bleef de USSR uit het handelssysteem, vooral omwille van politieke redenen. Het GATT werd niet gezien als een gepast kader voor het uitoefenen van Sovjet invloed in de handelszone. In plaats daarvan opperde Moskou voor de creatie van een grootse handelsorganisatie onder VN stimulatie, met effectieve links naar VN politieke organen en universeel lidmaatschap.</w:t>
      </w:r>
    </w:p>
    <w:p w:rsidR="00704A92" w:rsidRDefault="00704A92" w:rsidP="003F53FF"/>
    <w:p w:rsidR="00704A92" w:rsidRDefault="00704A92" w:rsidP="003F53FF">
      <w:r>
        <w:t xml:space="preserve">Dankzij de val van het communisme werd acceptatie tot de GATT en later het WTO gezien als noodzakelijk voor de Russische integratie in de wereldeconomie. In 1993 vroeg Rusland dan ook om lid te worden van het GATT. De vestiging van het WTO in ’95 zorgde ervoor dat de toegangsdiscussies vergroot werden om diensten en IPRs erbij te betrekken. Toch waren vele problemen moeilijk om op te lossen. </w:t>
      </w:r>
    </w:p>
    <w:p w:rsidR="00704A92" w:rsidRDefault="00704A92" w:rsidP="003F53FF"/>
    <w:p w:rsidR="00704A92" w:rsidRDefault="00704A92" w:rsidP="003F53FF">
      <w:r>
        <w:t>De kernbeslissingen die Rusland moest uitvoeren waren o.a. het bindend tariefniveau bepalen, de steun die ze gingen voorzien voor landbouw en de dekking van specifieke toewijdingen voor diensten. De overheid voelde dat verschillende beschermingsniveaus nodig waren tijdens de transitie naar een markteconomie om herstructurering van inefficiënte staatsbedrijven toe te staan. De Russische delegatie presenteerde dan ook initiële aanbiedingen om tarieven te binden op veel hogere ratio’s dan toegepast en stelde voor om een deel van de tarieven ongebonden te laten, iets wat ook gemotiveerd werd door tactische overwegingen. Aangezien zij die aanvraag doen geen verbeteringen kunnen onderhandelen, was het gewenst om bargaining chips te houden om verbeterde toegang te krijgen in toekomstige onderhandelingsrondes, hoewel dit bij China ook niet geholpen heeft om het proces te versnellen.</w:t>
      </w:r>
    </w:p>
    <w:p w:rsidR="00704A92" w:rsidRDefault="00704A92" w:rsidP="003F53FF"/>
    <w:p w:rsidR="00704A92" w:rsidRDefault="00704A92" w:rsidP="003F53FF">
      <w:r>
        <w:t>Politiek gevechten tussen de vertegenwoordigers en de Duma(verschillende vertegenwoordigde lichamen in Rusland) over wetgeving, frequente veranderingen in overheid, de stijgende invloed van economische elite in de energie- en dienstensector en de voortdurende onzekerheid wat betreft de relaties tussen de centrale overheid en de regio’s belemmerden het proces. Ook een reeks bezorgdheden in de grote OECD landen bemoeilijkten het proces. Sommige problemen waren gelijkaardig met die van China, zoals het bereiken van handelsstaat en niet-markteconomie status en de bepaling van het Jackson Vanik amendement.</w:t>
      </w:r>
    </w:p>
    <w:p w:rsidR="00704A92" w:rsidRDefault="00704A92" w:rsidP="003F53FF"/>
    <w:p w:rsidR="00704A92" w:rsidRDefault="00704A92" w:rsidP="003F53FF">
      <w:r>
        <w:t>In de lente van 2007 had Rusland de MFN status onderhandeld met al zijn significante handelspartners en een bilaterale toegangsovereenkomst beëindigd met alle, buiten 2 recent ingestemde WTO leden en Georgië. Rusland ging akkoord om zijn MFN tarieven te doen dalen en stemde toe in de verbintenis om handel te liberaliseren in kern dienstensectoren. Hoewel Rusland erin slaagde om in sommige kerngebieden liberalisatie te vermijden. Het conflict met Georgië zou de toegangsvooruitzichten nog verder kunnen vertragen.</w:t>
      </w:r>
    </w:p>
    <w:p w:rsidR="00704A92" w:rsidRDefault="00704A92" w:rsidP="003F53FF"/>
    <w:p w:rsidR="00704A92" w:rsidRPr="004C4629" w:rsidRDefault="00704A92" w:rsidP="003F53FF">
      <w:pPr>
        <w:rPr>
          <w:rStyle w:val="SubtleEmphasis"/>
        </w:rPr>
      </w:pPr>
    </w:p>
    <w:p w:rsidR="00704A92" w:rsidRDefault="00704A92" w:rsidP="004C4629">
      <w:pPr>
        <w:pStyle w:val="Subtitle"/>
        <w:rPr>
          <w:rStyle w:val="SubtleEmphasis"/>
        </w:rPr>
      </w:pPr>
      <w:r>
        <w:rPr>
          <w:rStyle w:val="SubtleEmphasis"/>
        </w:rPr>
        <w:t>Toegang van LDCs en andere landen met een laag inkomen</w:t>
      </w:r>
    </w:p>
    <w:p w:rsidR="00704A92" w:rsidRDefault="00704A92" w:rsidP="004C4629">
      <w:r>
        <w:t>Nepal en Cambodja waren de eerste LDC landen die toegang zochten tot het WTO in 2004. Bij Cambodja duurde dit proces bijna 10 jaar. Vanuatu die toegang zocht in 1995, schortte de toegangsonderhandelingen op in 2001. De redenen waren o.a. de visie dat te veel werd gevraagd en er een algemeen gebrek van eigenaarschap en begrip van de voordelen die ten dele vallen aan het land was. 1 reden was de ontkoppeling tussen de ontwikkelingsbezorgdheden en de objectieven van de overheid van Vanuatu en de onderhandelingshouding die werd aangenomen door de grote WTO leden, die alle regels zomaar toepasten op het handelsregime van Vanuatu  zonder na te denken over de specifieke omstandigheden die eraan vooraf gingen. Een andere factor was het gebrek aan adequate onpartijdige technische bijstand.</w:t>
      </w:r>
    </w:p>
    <w:p w:rsidR="00704A92" w:rsidRDefault="00704A92" w:rsidP="004C4629"/>
    <w:p w:rsidR="00704A92" w:rsidRDefault="00704A92" w:rsidP="004C4629">
      <w:r>
        <w:t>De minst ontwikkelde landen moesten zich houden aan standaarden die hoger waren dan deze van vele die al een plaats hadden en de onderhandelingen werden door velen gezien als zeer ongelijk voor de LDCs. Sommige landen werden lid na het maken van verbindingen die ze niet konden implementeren, laat staan er voordelen uit halen. Een resultaat van de Vanuatu beslissingen om de toegangsonderhandelingen op te schorten was de beslissing in 2002 door de Algemene raad die riep voor een uitoefening van controle door WTO leden van het zoeken naar concessies en toewijding van LDCs die toegang zoeken. Ook het op deze concessies beroepen om te verzekeren dat er pariteit is tussen wat gezocht werd in nieuwe LDC leden en zij die de toegang hadden gezocht in de GATT jaren had een zeker vorm van controle nodig.</w:t>
      </w:r>
    </w:p>
    <w:p w:rsidR="00704A92" w:rsidRDefault="00704A92" w:rsidP="004C4629"/>
    <w:p w:rsidR="00704A92" w:rsidRDefault="00704A92" w:rsidP="00CE687F">
      <w:pPr>
        <w:pStyle w:val="Subtitle"/>
        <w:rPr>
          <w:rStyle w:val="SubtleEmphasis"/>
        </w:rPr>
      </w:pPr>
      <w:r>
        <w:rPr>
          <w:rStyle w:val="SubtleEmphasis"/>
        </w:rPr>
        <w:t>Wat is de waarde van toegang WTO lidmaatschap?</w:t>
      </w:r>
    </w:p>
    <w:p w:rsidR="00704A92" w:rsidRDefault="00704A92" w:rsidP="00CE687F">
      <w:r>
        <w:t>Het toegangsproces is voor vele landen een lange weg met beleidsveranderingen, nieuwe wetgevingen, etc. Toch kiezen vele landen ervoor dit toch te doen. Wat zijn dan de voordelen?</w:t>
      </w:r>
    </w:p>
    <w:p w:rsidR="00704A92" w:rsidRDefault="00704A92" w:rsidP="00CE687F"/>
    <w:p w:rsidR="00704A92" w:rsidRDefault="00704A92" w:rsidP="00CE687F">
      <w:r>
        <w:t>De meest voor de hand liggende bron van voordelen is geassocieerd met de MFN regels en de andere WTO disciplines die discriminatie tegen nieuwkomers uitsluiten. Landen die tijdens het toegangsproces aan binnenlandse hervormingen doen en hun handelsbeleid aanpassen aan dat van het WTO, blijken het meeste uit het proces te halen in termen van economische groeiprestaties. De voordelen zijn echter moeilijk te kwantificeren dus er zijn weinig studies hierover verricht. De meeste succesvolle toegangslanden gebruiken immers het proces als mechanisme om politieke economische weerstand te overwinnen, met China als best voorbeeld.</w:t>
      </w:r>
    </w:p>
    <w:p w:rsidR="00704A92" w:rsidRDefault="00704A92" w:rsidP="00CE687F"/>
    <w:p w:rsidR="00704A92" w:rsidRDefault="00704A92" w:rsidP="00CE687F">
      <w:r>
        <w:t>De effectiviteit van de toegang kan men in de eerste plaats het beste zien aan de hand van de tarieven post en pre-WTO lidmaatschap.(zie ook tabel p571) Het algemeen beeld dat men kan afleiden is een beperkte vorm van liberalisatie, wat misschien deels een reflectie is van de relatief lage beschermingsniveaus die heersten over de betreffende landen. Een gelijkaardig patroon doet zich voor bij diensten, waar toegangslanden een significant aantal verbintenissen aangaan- meer dan landen die reeds lid zijn gemiddeld aangaan- maar deze zijn meestal van een bindende aard en leggen geen echter liberalisatie op. Ook hier is China een uitzondering, aangezien deze wel veel toewijding heeft besteed aan het liberaliseren van dienstenhandel.</w:t>
      </w:r>
    </w:p>
    <w:p w:rsidR="00704A92" w:rsidRDefault="00704A92" w:rsidP="00CE687F"/>
    <w:p w:rsidR="00704A92" w:rsidRDefault="00704A92" w:rsidP="00CE687F">
      <w:r>
        <w:t>Het beperkt aantal van liberalisatie verbindingen door toegangslanden suggereert dat de impact van toegang op de handel niet erg groot is. De GATT had slechts een positief effect op 5 landen: Canada, FR, Dui, UK, VS. WTO lidmaatschap bevordert handel enkel voor de landen die deelnemen aan het proces voor wederkerige uitwisseling van handelsbeleid toewijdingen. Er is geen positief handelseffect gevonden voor ontwikkelingslanden in de GATT. Er is echter wel een positief effect indien die landen na 1995 zijn toegetreden tot het WTO. Eens andere marktdeterminanten onder controle zijn, zullen verkopen van lang bestaande producten aan bestaande buitenlandse markten stijgen na WTO acceptatie</w:t>
      </w:r>
    </w:p>
    <w:p w:rsidR="00704A92" w:rsidRDefault="00704A92" w:rsidP="00CE687F"/>
    <w:p w:rsidR="00704A92" w:rsidRDefault="00704A92" w:rsidP="00CE687F">
      <w:r>
        <w:t>Er is dus een significant verschil in economische en de investering-naar-GDP-ratio tussen WTO en niet-WTO leden.</w:t>
      </w:r>
    </w:p>
    <w:p w:rsidR="00704A92" w:rsidRDefault="00704A92" w:rsidP="00CE687F"/>
    <w:p w:rsidR="00704A92" w:rsidRDefault="00704A92" w:rsidP="00CE687F">
      <w:r>
        <w:t xml:space="preserve"> Veel van de actie ligt dus niet in de tarieven maar in andere dimensies van WTO lidmaatschap, zoals doorzichtigheid, verminderde onzekerheid, etc. Ook de effecten van complementaire inspanningen in binnenlandse hervormingen spelen een rol. Het echte inkomen vergroot en armoede daalt als resultaat van betere handelsopportuniteiten, afhankelijk van de binnenlandse businessomgeving die bedrijven confronteert.</w:t>
      </w:r>
    </w:p>
    <w:p w:rsidR="00704A92" w:rsidRDefault="00704A92" w:rsidP="00CE687F">
      <w:r>
        <w:t>Wat ook belangrijk is om winst te halen uit de toegang, is het behouden van de hervormingen en zich richten tot voorraadbeperkingen. De effectiviteit van WTO mechanismes in het helpen van overheden wordt immers beïnvloedt door de marktzijde. Kleine landen zijn immers niet interessant voor exporteurs, dus zij kunnen veel minder snel een beleid testen dat tegen de WTO verbindingen ingaan. De locatie speelt ook een rol, aangezien dicht zijn bij een grote, rijke markt zal helpen om FDIs aan te trekken. Deze hebben investeerders die interesse hebben in verzekeren dat het beleid conform is met WTO disciplines</w:t>
      </w:r>
    </w:p>
    <w:p w:rsidR="00704A92" w:rsidRDefault="00704A92" w:rsidP="00CE687F"/>
    <w:p w:rsidR="00704A92" w:rsidRDefault="00704A92" w:rsidP="00CE687F">
      <w:r>
        <w:t>Veel transitie economieën die na 1995 lid zijn geworden van het WTO maakten ver-reikende verbindingen naar open diensten markten. Hoewel, deze in Centraal-Azië  zagen de langzame verbeteringen in de kwaliteit en effectiviteit van dienstenregulering in landen die dicht bij de EU lagen niet.</w:t>
      </w:r>
    </w:p>
    <w:p w:rsidR="00704A92" w:rsidRDefault="00704A92" w:rsidP="00CE687F"/>
    <w:p w:rsidR="00704A92" w:rsidRDefault="00704A92" w:rsidP="00CE687F"/>
    <w:p w:rsidR="00704A92" w:rsidRDefault="00704A92" w:rsidP="00CE687F"/>
    <w:p w:rsidR="00704A92" w:rsidRDefault="00704A92" w:rsidP="00CE687F"/>
    <w:p w:rsidR="00704A92" w:rsidRPr="00A360B7" w:rsidRDefault="00704A92" w:rsidP="00A360B7">
      <w:pPr>
        <w:pStyle w:val="Heading1"/>
        <w:rPr>
          <w:sz w:val="28"/>
          <w:lang w:val="en-GB"/>
        </w:rPr>
      </w:pPr>
      <w:r w:rsidRPr="00803EAC">
        <w:rPr>
          <w:lang w:val="en-GB"/>
        </w:rPr>
        <w:br w:type="page"/>
      </w:r>
      <w:bookmarkStart w:id="9" w:name="_Toc296090839"/>
      <w:r w:rsidRPr="00A360B7">
        <w:rPr>
          <w:lang w:val="en-GB"/>
        </w:rPr>
        <w:t>Hoofdstuk 17: The need for global governance</w:t>
      </w:r>
      <w:bookmarkEnd w:id="9"/>
    </w:p>
    <w:p w:rsidR="00704A92" w:rsidRPr="00E15168" w:rsidRDefault="00704A92" w:rsidP="00A360B7">
      <w:pPr>
        <w:pStyle w:val="ListParagraph"/>
        <w:numPr>
          <w:ilvl w:val="0"/>
          <w:numId w:val="34"/>
        </w:numPr>
        <w:spacing w:after="200" w:line="276" w:lineRule="auto"/>
        <w:rPr>
          <w:sz w:val="28"/>
          <w:szCs w:val="28"/>
          <w:u w:val="single"/>
        </w:rPr>
      </w:pPr>
      <w:r w:rsidRPr="00E15168">
        <w:rPr>
          <w:sz w:val="28"/>
          <w:szCs w:val="28"/>
          <w:u w:val="single"/>
        </w:rPr>
        <w:t>Macro-economische beleidscoördinatie: Rol van de G-7</w:t>
      </w:r>
    </w:p>
    <w:p w:rsidR="00704A92" w:rsidRDefault="00704A92" w:rsidP="00A360B7">
      <w:r>
        <w:t xml:space="preserve">Macht en dominantie van het Noorden en het liberalisme in het bestuur van internationale economische relaties zijn evident. ‘Club of the rich’ </w:t>
      </w:r>
      <w:r w:rsidRPr="00766E50">
        <w:rPr>
          <w:szCs w:val="20"/>
        </w:rPr>
        <w:sym w:font="Wingdings" w:char="F0E0"/>
      </w:r>
      <w:r>
        <w:t xml:space="preserve"> informele institutie zonder charter, met een gelimiteerde bureaucratische structuur om te helpen met de voorbereiding van de jaarlijkse topvergaderingen en geen permanent secretariaat. Leden: VS, VK, Canada, Japan, Frankrijk, Italië en Duitsland </w:t>
      </w:r>
      <w:r w:rsidRPr="00766E50">
        <w:rPr>
          <w:szCs w:val="20"/>
        </w:rPr>
        <w:sym w:font="Wingdings" w:char="F0E0"/>
      </w:r>
      <w:r>
        <w:t xml:space="preserve"> zelfaangewezen leiders van internationaal economisch bestuur. Met Rusland: G-8, komt erbij voor politieke discussies. </w:t>
      </w:r>
      <w:r w:rsidRPr="00766E50">
        <w:rPr>
          <w:szCs w:val="20"/>
        </w:rPr>
        <w:sym w:font="Wingdings" w:char="F0E0"/>
      </w:r>
      <w:r>
        <w:t xml:space="preserve"> centrum voor globaal bestuur.</w:t>
      </w:r>
    </w:p>
    <w:p w:rsidR="00704A92" w:rsidRDefault="00704A92" w:rsidP="00A360B7"/>
    <w:p w:rsidR="00704A92" w:rsidRDefault="00704A92" w:rsidP="00A360B7">
      <w:r>
        <w:t>Eerste sessies: informeel en niet permanent. Naderhand: aanduiden van ‘sherpas’ die samenkomsten voorbereiden en stappen ondernemen naar een institutionalisering van de G-7/8. Hiertoe behoorden oa: beslissing van 1977 om de vergaderingen jaarlijks te maken, het hebben van persoonlijke vertegenwoordigers die een basis leggen voor discussies en uitbreiding buiten de leider naar ook buitenlandse, financierings- en handelsvergaderingen. Resultaat: complex netwerk van nauwe relaties.</w:t>
      </w:r>
    </w:p>
    <w:p w:rsidR="00704A92" w:rsidRDefault="00704A92" w:rsidP="00A360B7"/>
    <w:p w:rsidR="00704A92" w:rsidRDefault="00704A92" w:rsidP="00A360B7">
      <w:r>
        <w:t>Rol van de G-7 in internationaal economisch bestuur: waarde van consultaties op een hoof niveau om om te gaan met problemen die niet door de lagere niveaus konden worden opgelost en de mogelijkheid om crisissen te managen, nieuwe problemen vroeg aan te kaarten en andere instituties aan te sporen om actie te ondernemen. Waardevol om persoonlijke relaties tussen leiders te scheppen en te leren van elkaars ervaringen.</w:t>
      </w:r>
    </w:p>
    <w:p w:rsidR="00704A92" w:rsidRPr="00D7692A" w:rsidRDefault="00704A92" w:rsidP="00A360B7">
      <w:r>
        <w:t xml:space="preserve">Aangekaarte problemen: </w:t>
      </w:r>
      <w:r w:rsidRPr="00D7692A">
        <w:tab/>
      </w:r>
      <w:r w:rsidRPr="00D7692A">
        <w:tab/>
      </w:r>
      <w:r w:rsidRPr="00D7692A">
        <w:tab/>
      </w:r>
      <w:r w:rsidRPr="00D7692A">
        <w:tab/>
      </w:r>
      <w:r w:rsidRPr="00D7692A">
        <w:tab/>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01"/>
        <w:gridCol w:w="4267"/>
      </w:tblGrid>
      <w:tr w:rsidR="00704A92" w:rsidRPr="006B391B" w:rsidTr="005031D7">
        <w:tc>
          <w:tcPr>
            <w:tcW w:w="4606" w:type="dxa"/>
          </w:tcPr>
          <w:p w:rsidR="00704A92" w:rsidRPr="006B391B" w:rsidRDefault="00704A92" w:rsidP="005031D7">
            <w:pPr>
              <w:pStyle w:val="ListParagraph"/>
              <w:ind w:left="0"/>
            </w:pPr>
            <w:r w:rsidRPr="006B391B">
              <w:t>Jobverlies</w:t>
            </w:r>
          </w:p>
        </w:tc>
        <w:tc>
          <w:tcPr>
            <w:tcW w:w="4606" w:type="dxa"/>
          </w:tcPr>
          <w:p w:rsidR="00704A92" w:rsidRPr="006B391B" w:rsidRDefault="00704A92" w:rsidP="005031D7">
            <w:r w:rsidRPr="006B391B">
              <w:t>Terrorisme</w:t>
            </w:r>
          </w:p>
        </w:tc>
      </w:tr>
      <w:tr w:rsidR="00704A92" w:rsidRPr="006B391B" w:rsidTr="005031D7">
        <w:tc>
          <w:tcPr>
            <w:tcW w:w="4606" w:type="dxa"/>
          </w:tcPr>
          <w:p w:rsidR="00704A92" w:rsidRPr="006B391B" w:rsidRDefault="00704A92" w:rsidP="005031D7">
            <w:r w:rsidRPr="006B391B">
              <w:t>Gevolgen van globalisatie</w:t>
            </w:r>
          </w:p>
        </w:tc>
        <w:tc>
          <w:tcPr>
            <w:tcW w:w="4606" w:type="dxa"/>
          </w:tcPr>
          <w:p w:rsidR="00704A92" w:rsidRPr="006B391B" w:rsidRDefault="00704A92" w:rsidP="005031D7">
            <w:r w:rsidRPr="006B391B">
              <w:t>Drugs smokkelen</w:t>
            </w:r>
          </w:p>
        </w:tc>
      </w:tr>
      <w:tr w:rsidR="00704A92" w:rsidRPr="006B391B" w:rsidTr="005031D7">
        <w:tc>
          <w:tcPr>
            <w:tcW w:w="4606" w:type="dxa"/>
          </w:tcPr>
          <w:p w:rsidR="00704A92" w:rsidRPr="006B391B" w:rsidRDefault="00704A92" w:rsidP="005031D7">
            <w:r w:rsidRPr="006B391B">
              <w:t>Tewerkstellingsniveaus</w:t>
            </w:r>
          </w:p>
        </w:tc>
        <w:tc>
          <w:tcPr>
            <w:tcW w:w="4606" w:type="dxa"/>
          </w:tcPr>
          <w:p w:rsidR="00704A92" w:rsidRPr="006B391B" w:rsidRDefault="00704A92" w:rsidP="005031D7">
            <w:r w:rsidRPr="006B391B">
              <w:t>Rusland en economische transitie (1990’s)</w:t>
            </w:r>
          </w:p>
        </w:tc>
      </w:tr>
      <w:tr w:rsidR="00704A92" w:rsidRPr="006B391B" w:rsidTr="005031D7">
        <w:tc>
          <w:tcPr>
            <w:tcW w:w="4606" w:type="dxa"/>
          </w:tcPr>
          <w:p w:rsidR="00704A92" w:rsidRPr="006B391B" w:rsidRDefault="00704A92" w:rsidP="005031D7">
            <w:r w:rsidRPr="006B391B">
              <w:t>Grensoverschrijdende misdaden</w:t>
            </w:r>
          </w:p>
        </w:tc>
        <w:tc>
          <w:tcPr>
            <w:tcW w:w="4606" w:type="dxa"/>
          </w:tcPr>
          <w:p w:rsidR="00704A92" w:rsidRPr="006B391B" w:rsidRDefault="00704A92" w:rsidP="005031D7">
            <w:r w:rsidRPr="006B391B">
              <w:t>Schuld en financiële onstabiliteit (1997-1998)</w:t>
            </w:r>
          </w:p>
        </w:tc>
      </w:tr>
      <w:tr w:rsidR="00704A92" w:rsidRPr="006B391B" w:rsidTr="005031D7">
        <w:tc>
          <w:tcPr>
            <w:tcW w:w="4606" w:type="dxa"/>
          </w:tcPr>
          <w:p w:rsidR="00704A92" w:rsidRPr="006B391B" w:rsidRDefault="00704A92" w:rsidP="005031D7">
            <w:r w:rsidRPr="006B391B">
              <w:t>Financiële paniek</w:t>
            </w:r>
          </w:p>
        </w:tc>
        <w:tc>
          <w:tcPr>
            <w:tcW w:w="4606" w:type="dxa"/>
          </w:tcPr>
          <w:p w:rsidR="00704A92" w:rsidRPr="006B391B" w:rsidRDefault="00704A92" w:rsidP="005031D7">
            <w:r w:rsidRPr="006B391B">
              <w:t>Schuldaflossing alle arme landen (2005)</w:t>
            </w:r>
          </w:p>
        </w:tc>
      </w:tr>
      <w:tr w:rsidR="00704A92" w:rsidRPr="006B391B" w:rsidTr="005031D7">
        <w:tc>
          <w:tcPr>
            <w:tcW w:w="4606" w:type="dxa"/>
          </w:tcPr>
          <w:p w:rsidR="00704A92" w:rsidRPr="006B391B" w:rsidRDefault="00704A92" w:rsidP="005031D7">
            <w:r w:rsidRPr="006B391B">
              <w:t>Schuldverlossing</w:t>
            </w:r>
          </w:p>
        </w:tc>
        <w:tc>
          <w:tcPr>
            <w:tcW w:w="4606" w:type="dxa"/>
          </w:tcPr>
          <w:p w:rsidR="00704A92" w:rsidRPr="006B391B" w:rsidRDefault="00704A92" w:rsidP="005031D7">
            <w:r w:rsidRPr="006B391B">
              <w:t>Klimaatverandering (2007-2008)</w:t>
            </w:r>
          </w:p>
        </w:tc>
      </w:tr>
      <w:tr w:rsidR="00704A92" w:rsidRPr="006B391B" w:rsidTr="005031D7">
        <w:tc>
          <w:tcPr>
            <w:tcW w:w="4606" w:type="dxa"/>
          </w:tcPr>
          <w:p w:rsidR="00704A92" w:rsidRPr="006B391B" w:rsidRDefault="00704A92" w:rsidP="005031D7">
            <w:r w:rsidRPr="006B391B">
              <w:t>Wereldarmoede</w:t>
            </w:r>
          </w:p>
        </w:tc>
        <w:tc>
          <w:tcPr>
            <w:tcW w:w="4606" w:type="dxa"/>
          </w:tcPr>
          <w:p w:rsidR="00704A92" w:rsidRPr="006B391B" w:rsidRDefault="00704A92" w:rsidP="005031D7">
            <w:r w:rsidRPr="006B391B">
              <w:t>Doha Ronde van WTO gesprekken</w:t>
            </w:r>
          </w:p>
        </w:tc>
      </w:tr>
      <w:tr w:rsidR="00704A92" w:rsidRPr="006B391B" w:rsidTr="005031D7">
        <w:tc>
          <w:tcPr>
            <w:tcW w:w="4606" w:type="dxa"/>
          </w:tcPr>
          <w:p w:rsidR="00704A92" w:rsidRPr="006B391B" w:rsidRDefault="00704A92" w:rsidP="005031D7">
            <w:r w:rsidRPr="006B391B">
              <w:t>Globale milieuproblemen</w:t>
            </w:r>
          </w:p>
        </w:tc>
        <w:tc>
          <w:tcPr>
            <w:tcW w:w="4606" w:type="dxa"/>
          </w:tcPr>
          <w:p w:rsidR="00704A92" w:rsidRPr="006B391B" w:rsidRDefault="00704A92" w:rsidP="005031D7"/>
        </w:tc>
      </w:tr>
    </w:tbl>
    <w:p w:rsidR="00704A92" w:rsidRDefault="00704A92" w:rsidP="00A360B7"/>
    <w:p w:rsidR="00704A92" w:rsidRDefault="00704A92" w:rsidP="00A360B7">
      <w:r>
        <w:t xml:space="preserve">Oprichten van expertgroepen. Internationale financiële regulatie. Financial stability Forum </w:t>
      </w:r>
      <w:r w:rsidRPr="00D7692A">
        <w:rPr>
          <w:szCs w:val="20"/>
        </w:rPr>
        <w:sym w:font="Wingdings" w:char="F0E0"/>
      </w:r>
      <w:r>
        <w:t xml:space="preserve"> taak: versterken van internationale financiële standaarden en codes. 12 financiële codes over oa: bankzaken, verzekeringen, boekhouden en effecten. Internationale financiële crisis van 2008-2009 maakte duidelijk dat deze standaarden onvoldoende waren of niet werden afgedwongen. G-7 wsl verder transformeren of vervangen door een grotere groep als de G-20 in zijn rol als coördinator van globaal economisch bestuur.</w:t>
      </w:r>
    </w:p>
    <w:p w:rsidR="00704A92" w:rsidRDefault="00704A92" w:rsidP="00A360B7"/>
    <w:p w:rsidR="00704A92" w:rsidRDefault="00704A92" w:rsidP="00A360B7">
      <w:pPr>
        <w:pStyle w:val="ListParagraph"/>
        <w:numPr>
          <w:ilvl w:val="0"/>
          <w:numId w:val="34"/>
        </w:numPr>
        <w:spacing w:after="200" w:line="276" w:lineRule="auto"/>
        <w:rPr>
          <w:sz w:val="28"/>
          <w:szCs w:val="28"/>
          <w:u w:val="single"/>
        </w:rPr>
      </w:pPr>
      <w:r w:rsidRPr="00E15168">
        <w:rPr>
          <w:sz w:val="28"/>
          <w:szCs w:val="28"/>
          <w:u w:val="single"/>
        </w:rPr>
        <w:t>Functionele transportregimes</w:t>
      </w:r>
    </w:p>
    <w:p w:rsidR="00704A92" w:rsidRDefault="00704A92" w:rsidP="00A360B7">
      <w:pPr>
        <w:ind w:left="45"/>
      </w:pPr>
      <w:r w:rsidRPr="00E041CF">
        <w:t>Handel: nood aan fysieke transportgoederen en petroleum</w:t>
      </w:r>
      <w:r>
        <w:t>. Sterke internationale regels en normen over zee- en luchttransport: 2 velden die een directe impact hebben op uitbreidende economische relaties en die bijdragen tot de globalisatie van de economie mbv technologische verbeteringen. Belangrijkste normen: vrijheid van de zee en onschuldige doorgang, het recht van een staat om toegang van buitenlandse schepen te controleren en wetgeving hierover.</w:t>
      </w:r>
    </w:p>
    <w:p w:rsidR="00704A92" w:rsidRDefault="00704A92" w:rsidP="00A360B7">
      <w:pPr>
        <w:ind w:left="45"/>
      </w:pPr>
    </w:p>
    <w:p w:rsidR="00704A92" w:rsidRDefault="00704A92" w:rsidP="00A360B7">
      <w:pPr>
        <w:ind w:left="45"/>
      </w:pPr>
      <w:r>
        <w:t>International Maritime Organization (IMO): UNgespecialiseerd agentschap ontworpen om technische coöperatie in zeetransport te vergemakkelijken door verschillende comités die technische standaarden en regels over oa accidenten, vervuiling en compensatie goedkeuren. Privé-initiatieven zijn ook belangrijk. International Maritime Bureau: verzamelt data over piraterij en zorgt voor updates aan transportfirma’s, verzekeringsbedrijven en het IMO. Verantwoordelijkheid van de staten om hun eigen waters te leiden.</w:t>
      </w:r>
    </w:p>
    <w:p w:rsidR="00704A92" w:rsidRDefault="00704A92" w:rsidP="00A360B7">
      <w:pPr>
        <w:ind w:left="45"/>
      </w:pPr>
    </w:p>
    <w:p w:rsidR="00704A92" w:rsidRDefault="00704A92" w:rsidP="00A360B7">
      <w:pPr>
        <w:ind w:left="45"/>
      </w:pPr>
      <w:r>
        <w:t>20</w:t>
      </w:r>
      <w:r w:rsidRPr="00E041CF">
        <w:rPr>
          <w:vertAlign w:val="superscript"/>
        </w:rPr>
        <w:t>e</w:t>
      </w:r>
      <w:r>
        <w:t xml:space="preserve"> eeuw </w:t>
      </w:r>
      <w:r w:rsidRPr="00E041CF">
        <w:rPr>
          <w:szCs w:val="20"/>
        </w:rPr>
        <w:sym w:font="Wingdings" w:char="F0E0"/>
      </w:r>
      <w:r>
        <w:t xml:space="preserve"> voor luchttransport dezelfde normen. Staten hebben normen geaccepteerd voor schadecontrole, accidentvermijding en misdaden als piraterij en hijacking, vermijden van vervuiling en milieuschade. International Civil Aviation Organization (ICAO), een gespecialiseerd agentschap van de UN opgericht in 1944 en the International Association of Transport Airlines (IATA). Effecten van beide: grote impact in het verwijderen van grenzen van de internationale luchtbeweging en promoten van economische efficiëntie in lucht- en grondoperaties; Nog geen internationaal functioneel regime voor energie, hoewel petroleum belangrijk is. US speelt leidende rol in zetten van veiligheidsstandaarden en normen. </w:t>
      </w:r>
    </w:p>
    <w:p w:rsidR="00704A92" w:rsidRDefault="00704A92" w:rsidP="00A360B7">
      <w:pPr>
        <w:pStyle w:val="ListParagraph"/>
        <w:numPr>
          <w:ilvl w:val="0"/>
          <w:numId w:val="34"/>
        </w:numPr>
        <w:spacing w:after="200" w:line="276" w:lineRule="auto"/>
        <w:rPr>
          <w:sz w:val="28"/>
          <w:szCs w:val="28"/>
          <w:u w:val="single"/>
        </w:rPr>
      </w:pPr>
      <w:r>
        <w:rPr>
          <w:sz w:val="28"/>
          <w:szCs w:val="28"/>
          <w:u w:val="single"/>
        </w:rPr>
        <w:t>Intergouvernementele middelenkartels</w:t>
      </w:r>
    </w:p>
    <w:p w:rsidR="00704A92" w:rsidRPr="00BE4AA2" w:rsidRDefault="00704A92" w:rsidP="00A360B7">
      <w:pPr>
        <w:ind w:left="45"/>
      </w:pPr>
      <w:r w:rsidRPr="00BE4AA2">
        <w:t>Organization of Petroleum Exporting Countries (OPEC): internationaal productiekartel opgericht in 1960 door Iran,</w:t>
      </w:r>
      <w:r>
        <w:t xml:space="preserve"> Irak, Koeweit, Saoe</w:t>
      </w:r>
      <w:r w:rsidRPr="00BE4AA2">
        <w:t xml:space="preserve">di-Arabië en Venezuela als antwoord op olieoligopolie gevormd door internationale oliebedrijven en om druk uit te oefenen op deze bedrijven om hun prijsbeslissingen ongedaan te maken. Muammar Qaddhafi </w:t>
      </w:r>
      <w:r w:rsidRPr="00BE4AA2">
        <w:rPr>
          <w:szCs w:val="20"/>
        </w:rPr>
        <w:sym w:font="Wingdings" w:char="F0E0"/>
      </w:r>
      <w:r w:rsidRPr="00BE4AA2">
        <w:t xml:space="preserve"> nationalisatie van Libische olie-industrie en dramatische stijgingen in de petroleumprijzen die volgden, zorgde ervoor dat andere olie-exporteurs hun controle over productie en prijzen gingen verhogen. 1974 </w:t>
      </w:r>
      <w:r w:rsidRPr="00BE4AA2">
        <w:rPr>
          <w:szCs w:val="20"/>
        </w:rPr>
        <w:sym w:font="Wingdings" w:char="F0E0"/>
      </w:r>
      <w:r w:rsidRPr="00BE4AA2">
        <w:t xml:space="preserve"> Arabische leden van OPES </w:t>
      </w:r>
      <w:r w:rsidRPr="00BE4AA2">
        <w:rPr>
          <w:szCs w:val="20"/>
        </w:rPr>
        <w:sym w:font="Wingdings" w:char="F0E0"/>
      </w:r>
      <w:r w:rsidRPr="00BE4AA2">
        <w:t xml:space="preserve"> embargo om olie van staten die Israel steunen weg te houden, wat een grote stijging in de olieprijs en een economische verstoring in de US en Nederland veroorzaakten. OPEC leden hadden de handelstermen aangepast door samen te werken en zo de prijs en productie van olie te controleren. OPEC had succes maar ondertussen is de macht al gedaald door onder andere Rusland en andere Sovjetstaten die meer olie produceren, maar ook door de druk van hernieuwbare of duurzame energie in het kader van globale opwarming van de aarde en om petroleumprijzen te stabiliseren. OPECs benadering om exportmarkten te controleren moet leveren via onderhandelde productiequota’s onder de leden reguleren.</w:t>
      </w:r>
    </w:p>
    <w:p w:rsidR="00704A92" w:rsidRDefault="00704A92" w:rsidP="00A360B7">
      <w:pPr>
        <w:pStyle w:val="ListParagraph"/>
        <w:numPr>
          <w:ilvl w:val="0"/>
          <w:numId w:val="34"/>
        </w:numPr>
        <w:spacing w:after="200" w:line="276" w:lineRule="auto"/>
        <w:rPr>
          <w:sz w:val="28"/>
          <w:szCs w:val="28"/>
          <w:u w:val="single"/>
        </w:rPr>
      </w:pPr>
      <w:r>
        <w:rPr>
          <w:sz w:val="28"/>
          <w:szCs w:val="28"/>
          <w:u w:val="single"/>
        </w:rPr>
        <w:t>Privaat bestuur</w:t>
      </w:r>
    </w:p>
    <w:p w:rsidR="00704A92" w:rsidRDefault="00704A92" w:rsidP="00A360B7">
      <w:pPr>
        <w:ind w:left="45"/>
      </w:pPr>
      <w:r>
        <w:t xml:space="preserve">Private bedrijven nemen het initiatief in het stellen van industriewijde standaarden en normen om markten te controleren. Met privatisatie en deregulatie van industrieën in vele landen, zijn marktmechanisme voor privaat bestuur en zelfregulerende mechanisme meer voorkomend. Privaat bestuur neemt verschillende vormen aan waaronder dat van coördinatie tussen bedrijven via gedragscodes of een vorm ontwikkeld door samenwerking tussen bedrijven </w:t>
      </w:r>
      <w:r w:rsidRPr="001112B9">
        <w:rPr>
          <w:szCs w:val="20"/>
        </w:rPr>
        <w:sym w:font="Wingdings" w:char="F0E0"/>
      </w:r>
      <w:r>
        <w:t xml:space="preserve"> ingebedde kennisnetwerken, private instituties die specifieke vormen van sociale autoriteit bezitten.</w:t>
      </w:r>
    </w:p>
    <w:p w:rsidR="00704A92" w:rsidRDefault="00704A92" w:rsidP="00A360B7">
      <w:pPr>
        <w:pStyle w:val="ListParagraph"/>
        <w:numPr>
          <w:ilvl w:val="0"/>
          <w:numId w:val="34"/>
        </w:numPr>
        <w:spacing w:after="200" w:line="276" w:lineRule="auto"/>
        <w:rPr>
          <w:sz w:val="28"/>
          <w:szCs w:val="28"/>
          <w:u w:val="single"/>
        </w:rPr>
      </w:pPr>
      <w:r>
        <w:rPr>
          <w:sz w:val="28"/>
          <w:szCs w:val="28"/>
          <w:u w:val="single"/>
        </w:rPr>
        <w:t>Case studie: Globale financiële crisis en nood aan economische hervorming</w:t>
      </w:r>
    </w:p>
    <w:p w:rsidR="00704A92" w:rsidRPr="00ED7D0C" w:rsidRDefault="00704A92" w:rsidP="00A360B7">
      <w:pPr>
        <w:ind w:left="45"/>
      </w:pPr>
      <w:r w:rsidRPr="00ED7D0C">
        <w:t xml:space="preserve">Terugkerend fenomeen en na elke financiële crisis </w:t>
      </w:r>
      <w:r w:rsidRPr="00ED7D0C">
        <w:rPr>
          <w:szCs w:val="20"/>
        </w:rPr>
        <w:sym w:font="Wingdings" w:char="F0E0"/>
      </w:r>
      <w:r w:rsidRPr="00ED7D0C">
        <w:t xml:space="preserve"> hervorming door G-7. Globale financiële standaarden werden ontwikkeld om informatie en transparantie in globale markten te bevorderen. Economie van de VS </w:t>
      </w:r>
      <w:r w:rsidRPr="00ED7D0C">
        <w:rPr>
          <w:szCs w:val="20"/>
        </w:rPr>
        <w:sym w:font="Wingdings" w:char="F0E0"/>
      </w:r>
      <w:r w:rsidRPr="00ED7D0C">
        <w:t xml:space="preserve"> overvloed aan krediet tegenover onvoldoende vermogen op huizenmarkt, de financiële sector en consumentenkredietmarkten. Explosie van ongereguleerde financiële instrumenten en een onduurzame handels’imbalance’ met China en olie-exporterende landen. Globale economische crisis </w:t>
      </w:r>
      <w:r w:rsidRPr="00ED7D0C">
        <w:rPr>
          <w:szCs w:val="20"/>
        </w:rPr>
        <w:sym w:font="Wingdings" w:char="F0E0"/>
      </w:r>
      <w:r w:rsidRPr="00ED7D0C">
        <w:t xml:space="preserve"> US: hypotheekmarkt van de subprimes </w:t>
      </w:r>
      <w:r w:rsidRPr="00ED7D0C">
        <w:rPr>
          <w:szCs w:val="20"/>
        </w:rPr>
        <w:sym w:font="Wingdings" w:char="F0E0"/>
      </w:r>
      <w:r w:rsidRPr="00ED7D0C">
        <w:t xml:space="preserve"> stortte in </w:t>
      </w:r>
      <w:r w:rsidRPr="00ED7D0C">
        <w:rPr>
          <w:szCs w:val="20"/>
        </w:rPr>
        <w:sym w:font="Wingdings" w:char="F0E0"/>
      </w:r>
      <w:r w:rsidRPr="00ED7D0C">
        <w:t xml:space="preserve"> financiële bedrijven en internationale banken </w:t>
      </w:r>
      <w:r w:rsidRPr="00ED7D0C">
        <w:rPr>
          <w:szCs w:val="20"/>
        </w:rPr>
        <w:sym w:font="Wingdings" w:char="F0E0"/>
      </w:r>
      <w:r w:rsidRPr="00ED7D0C">
        <w:t xml:space="preserve"> onhoudbare schulden </w:t>
      </w:r>
      <w:r w:rsidRPr="00ED7D0C">
        <w:rPr>
          <w:szCs w:val="20"/>
        </w:rPr>
        <w:sym w:font="Wingdings" w:char="F0E0"/>
      </w:r>
      <w:r w:rsidRPr="00ED7D0C">
        <w:t xml:space="preserve"> moeilijker om krediet te verwerden </w:t>
      </w:r>
      <w:r w:rsidRPr="00ED7D0C">
        <w:rPr>
          <w:szCs w:val="20"/>
        </w:rPr>
        <w:sym w:font="Wingdings" w:char="F0E0"/>
      </w:r>
      <w:r w:rsidRPr="00ED7D0C">
        <w:t xml:space="preserve"> private investering om bedrijven te bouwen en goederen te produceren droogden op </w:t>
      </w:r>
      <w:r w:rsidRPr="00ED7D0C">
        <w:rPr>
          <w:szCs w:val="20"/>
        </w:rPr>
        <w:sym w:font="Wingdings" w:char="F0E0"/>
      </w:r>
      <w:r w:rsidRPr="00ED7D0C">
        <w:t xml:space="preserve"> meer ontslagen, minder uitgaven </w:t>
      </w:r>
      <w:r w:rsidRPr="00ED7D0C">
        <w:rPr>
          <w:szCs w:val="20"/>
        </w:rPr>
        <w:sym w:font="Wingdings" w:char="F0E0"/>
      </w:r>
      <w:r w:rsidRPr="00ED7D0C">
        <w:t xml:space="preserve"> vraag daalde. Olieprijzen daalden. In ontwikkelende economieën: investering stortte in. Baltische staten, Oekraïne, West-Europese landen stortten virtueel in. Export daalde ook. US, veel EU-landen, Japan en China </w:t>
      </w:r>
      <w:r w:rsidRPr="00ED7D0C">
        <w:rPr>
          <w:szCs w:val="20"/>
        </w:rPr>
        <w:sym w:font="Wingdings" w:char="F0E0"/>
      </w:r>
      <w:r w:rsidRPr="00ED7D0C">
        <w:t xml:space="preserve"> economische stimuleringspakketten om economieën terug op gang te krijgen. Fonds om economische catastrofen in ontwikkelingslanden te vermijden. </w:t>
      </w:r>
    </w:p>
    <w:p w:rsidR="00704A92" w:rsidRDefault="00704A92" w:rsidP="00A360B7">
      <w:pPr>
        <w:ind w:left="45"/>
      </w:pPr>
    </w:p>
    <w:p w:rsidR="00704A92" w:rsidRDefault="00704A92" w:rsidP="00A360B7">
      <w:pPr>
        <w:ind w:left="45"/>
      </w:pPr>
      <w:r w:rsidRPr="00ED7D0C">
        <w:t xml:space="preserve">Initiële respons: unilateraal, uitkopen van banken en verzekeringsmaatschappijen. Begin oktober 2008: IJsland eerste slachtoffer, banksysteem stortte in en overheid verklaarde het faillissement. </w:t>
      </w:r>
    </w:p>
    <w:p w:rsidR="00704A92" w:rsidRDefault="00704A92" w:rsidP="00A360B7">
      <w:pPr>
        <w:ind w:left="45"/>
      </w:pPr>
    </w:p>
    <w:p w:rsidR="00704A92" w:rsidRDefault="00704A92" w:rsidP="00A360B7">
      <w:pPr>
        <w:ind w:left="45"/>
      </w:pPr>
      <w:r>
        <w:t>IMF: verzwakking van rol in internationaal economisch bestuur, antwoord op crisis: 250 biljoen dollar voor kredietlijnen en creatie van Short-Term Liquidity Facility. Herorganisatie van Exogenous Shocks Facility ontworpen om lage-inkomen landen te helpen, om leningscondities te stroomlijnen en om snellere assistentie te voorzien. Hervormingen binnen het IMF zelf: China meer substantiële rol door herziening van quotasysteem en recycleren van dollar in sparingen in een ander munt</w:t>
      </w:r>
      <w:r w:rsidRPr="00763634">
        <w:rPr>
          <w:szCs w:val="20"/>
        </w:rPr>
        <w:sym w:font="Wingdings" w:char="F0E0"/>
      </w:r>
      <w:r>
        <w:t xml:space="preserve"> IMF actief mgmt van wisselkoersreserves en controle over opkomende aanwinsten. Andere hervormingen focussen op controlefuncties.</w:t>
      </w:r>
    </w:p>
    <w:p w:rsidR="00704A92" w:rsidRDefault="00704A92" w:rsidP="00A360B7">
      <w:pPr>
        <w:ind w:left="45"/>
      </w:pPr>
    </w:p>
    <w:p w:rsidR="00704A92" w:rsidRDefault="00704A92" w:rsidP="00A360B7">
      <w:pPr>
        <w:ind w:left="45"/>
      </w:pPr>
    </w:p>
    <w:p w:rsidR="00704A92" w:rsidRDefault="00704A92" w:rsidP="00A360B7">
      <w:pPr>
        <w:ind w:left="45"/>
      </w:pPr>
    </w:p>
    <w:p w:rsidR="00704A92" w:rsidRDefault="00704A92" w:rsidP="00A360B7">
      <w:pPr>
        <w:ind w:left="45"/>
      </w:pPr>
    </w:p>
    <w:p w:rsidR="00704A92" w:rsidRDefault="00704A92" w:rsidP="00A360B7">
      <w:pPr>
        <w:ind w:left="45"/>
      </w:pPr>
      <w:r>
        <w:t>Ook hervormingen gevraagd op intergouvernementele en quasiprivate niveaus</w:t>
      </w:r>
    </w:p>
    <w:tbl>
      <w:tblPr>
        <w:tblW w:w="0" w:type="auto"/>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06"/>
        <w:gridCol w:w="4606"/>
      </w:tblGrid>
      <w:tr w:rsidR="00704A92" w:rsidRPr="006B391B" w:rsidTr="005031D7">
        <w:tc>
          <w:tcPr>
            <w:tcW w:w="4606" w:type="dxa"/>
          </w:tcPr>
          <w:p w:rsidR="00704A92" w:rsidRPr="006B391B" w:rsidRDefault="00704A92" w:rsidP="005031D7">
            <w:r w:rsidRPr="006B391B">
              <w:t>Intergouvernementeel</w:t>
            </w:r>
          </w:p>
        </w:tc>
        <w:tc>
          <w:tcPr>
            <w:tcW w:w="4606" w:type="dxa"/>
          </w:tcPr>
          <w:p w:rsidR="00704A92" w:rsidRPr="006B391B" w:rsidRDefault="00704A92" w:rsidP="005031D7">
            <w:r w:rsidRPr="006B391B">
              <w:t>Quasiprivaat</w:t>
            </w:r>
          </w:p>
        </w:tc>
      </w:tr>
      <w:tr w:rsidR="00704A92" w:rsidRPr="006B391B" w:rsidTr="005031D7">
        <w:tc>
          <w:tcPr>
            <w:tcW w:w="4606" w:type="dxa"/>
          </w:tcPr>
          <w:p w:rsidR="00704A92" w:rsidRPr="006B391B" w:rsidRDefault="00704A92" w:rsidP="005031D7">
            <w:pPr>
              <w:pStyle w:val="ListParagraph"/>
              <w:numPr>
                <w:ilvl w:val="0"/>
                <w:numId w:val="35"/>
              </w:numPr>
            </w:pPr>
            <w:r w:rsidRPr="006B391B">
              <w:t>Japan + China: wisselkoersreserves pool</w:t>
            </w:r>
          </w:p>
          <w:p w:rsidR="00704A92" w:rsidRPr="006B391B" w:rsidRDefault="00704A92" w:rsidP="005031D7">
            <w:pPr>
              <w:pStyle w:val="ListParagraph"/>
              <w:numPr>
                <w:ilvl w:val="0"/>
                <w:numId w:val="35"/>
              </w:numPr>
            </w:pPr>
            <w:r w:rsidRPr="006B391B">
              <w:t xml:space="preserve">Anderen: herorganisatie van G-7, China opnemen </w:t>
            </w:r>
            <w:r w:rsidRPr="006B391B">
              <w:rPr>
                <w:szCs w:val="20"/>
              </w:rPr>
              <w:sym w:font="Wingdings" w:char="F0E0"/>
            </w:r>
            <w:r w:rsidRPr="006B391B">
              <w:t xml:space="preserve"> meer legitimiteit voor Financial Stability Forum</w:t>
            </w:r>
          </w:p>
          <w:p w:rsidR="00704A92" w:rsidRPr="006B391B" w:rsidRDefault="00704A92" w:rsidP="005031D7">
            <w:pPr>
              <w:pStyle w:val="ListParagraph"/>
              <w:numPr>
                <w:ilvl w:val="0"/>
                <w:numId w:val="35"/>
              </w:numPr>
            </w:pPr>
            <w:r w:rsidRPr="006B391B">
              <w:t xml:space="preserve">Nog anderen: G-7 </w:t>
            </w:r>
            <w:r w:rsidRPr="006B391B">
              <w:rPr>
                <w:szCs w:val="20"/>
              </w:rPr>
              <w:sym w:font="Wingdings" w:char="F0E0"/>
            </w:r>
            <w:r w:rsidRPr="006B391B">
              <w:t xml:space="preserve"> G-20 of andere groep voor macro-economische beleidscoördinatie </w:t>
            </w:r>
          </w:p>
        </w:tc>
        <w:tc>
          <w:tcPr>
            <w:tcW w:w="4606" w:type="dxa"/>
          </w:tcPr>
          <w:p w:rsidR="00704A92" w:rsidRPr="006B391B" w:rsidRDefault="00704A92" w:rsidP="005031D7">
            <w:pPr>
              <w:pStyle w:val="ListParagraph"/>
              <w:numPr>
                <w:ilvl w:val="0"/>
                <w:numId w:val="35"/>
              </w:numPr>
            </w:pPr>
            <w:r w:rsidRPr="006B391B">
              <w:t>Obligatie en kredietratings agentschappen</w:t>
            </w:r>
          </w:p>
        </w:tc>
      </w:tr>
    </w:tbl>
    <w:p w:rsidR="00704A92" w:rsidRDefault="00704A92" w:rsidP="00A360B7"/>
    <w:p w:rsidR="00704A92" w:rsidRPr="00ED7D0C" w:rsidRDefault="00704A92" w:rsidP="00A360B7">
      <w:r>
        <w:t xml:space="preserve">Samen met grotere rol voor G-20, leidde de crisis ertoe dat BRIC’s hun eerste topmeeting hielden in Moskou in 2009 om te bepalen hoe ze meer invloed op het financiële systemen kunnen uitoefenen. China wou nieuwe internationale munt ipv dollar. BRIC’s: vage uitspraken over rol van dollar en rol van ontwikkelingslanden. Nood aan hervorming groot aangezien globale crisis impact heeft op internationale en regionale economische instituties en de interne markt, economische unie en eenheid van de EU bedreigt. Door crisis: ook daling in koopkracht van MNC’s; nood aan beter bestuur en meer transparantie. Globale markten leiden onder een zwak bestuur. Kritiek: economische globalisatie heeft gat tussen rijk en arm niet gedicht, ongecontroleerde globalisatie is niet wenselijk en nieuwe instituties en compensatiemechanismen zijn nodig om globalisatie effectiever, duurzamer en eerlijker te maken. Intellectuele uitdaging: deze bedenken. </w:t>
      </w:r>
    </w:p>
    <w:p w:rsidR="00704A92" w:rsidRPr="00D20478" w:rsidRDefault="00704A92" w:rsidP="009A7ED7">
      <w:pPr>
        <w:pStyle w:val="Heading1"/>
      </w:pPr>
      <w:r>
        <w:rPr>
          <w:sz w:val="24"/>
          <w:szCs w:val="24"/>
        </w:rPr>
        <w:br w:type="page"/>
      </w:r>
      <w:bookmarkStart w:id="10" w:name="_Toc296090840"/>
      <w:r>
        <w:t xml:space="preserve">Hoofstuk 19: </w:t>
      </w:r>
      <w:r w:rsidRPr="00D20478">
        <w:t>De G20 en de post-crisis economische orde</w:t>
      </w:r>
      <w:bookmarkEnd w:id="10"/>
    </w:p>
    <w:p w:rsidR="00704A92" w:rsidRPr="00D20478" w:rsidRDefault="00704A92" w:rsidP="009A7ED7">
      <w:pPr>
        <w:rPr>
          <w:b/>
        </w:rPr>
      </w:pPr>
      <w:r w:rsidRPr="00D20478">
        <w:rPr>
          <w:b/>
        </w:rPr>
        <w:t>*Inleiding</w:t>
      </w:r>
    </w:p>
    <w:p w:rsidR="00704A92" w:rsidRDefault="00704A92" w:rsidP="009A7ED7">
      <w:r>
        <w:t>In de aanloop van de 2 topconferenties in 2010 – Toronto in juni en Seoul in november – moet de G20 vooruitgang maken in crisis response, en het doel van collectieve ondernemingen aandrijven.</w:t>
      </w:r>
    </w:p>
    <w:p w:rsidR="00704A92" w:rsidRDefault="00704A92" w:rsidP="009A7ED7"/>
    <w:p w:rsidR="00704A92" w:rsidRDefault="00704A92" w:rsidP="009A7ED7">
      <w:r>
        <w:t xml:space="preserve">Duale existentie: eerst was de G20 een forum van ministers, en daarna als een top van leiders. </w:t>
      </w:r>
    </w:p>
    <w:p w:rsidR="00704A92" w:rsidRDefault="00704A92" w:rsidP="009A7ED7">
      <w:pPr>
        <w:rPr>
          <w:b/>
        </w:rPr>
      </w:pPr>
    </w:p>
    <w:p w:rsidR="00704A92" w:rsidRDefault="00704A92" w:rsidP="009A7ED7">
      <w:pPr>
        <w:rPr>
          <w:b/>
        </w:rPr>
      </w:pPr>
      <w:r>
        <w:rPr>
          <w:b/>
        </w:rPr>
        <w:t>* De G20 vandaag</w:t>
      </w:r>
    </w:p>
    <w:p w:rsidR="00704A92" w:rsidRDefault="00704A92" w:rsidP="009A7ED7">
      <w:r>
        <w:t>- De G20 is eerder nog in uitvoering, niet alleen in haar technische dimensies, maar in termen van haar duurzame impact op de regels en procedures voor een herindeling van mondiale orde;</w:t>
      </w:r>
    </w:p>
    <w:p w:rsidR="00704A92" w:rsidRDefault="00704A92" w:rsidP="009A7ED7"/>
    <w:p w:rsidR="00704A92" w:rsidRDefault="00704A92" w:rsidP="009A7ED7">
      <w:r>
        <w:t>- Spanningen in de nationale coördinatie van het beleid hebben architecturale vooruitgangen tegengewerkt, waarbij een ongeanticipeerde losheid en fragiliteit wordt gecreëerd, eerder dan een ingebedde kwaliteit van de organisatiestructuur van de G20;</w:t>
      </w:r>
    </w:p>
    <w:p w:rsidR="00704A92" w:rsidRDefault="00704A92" w:rsidP="009A7ED7"/>
    <w:p w:rsidR="00704A92" w:rsidRDefault="00704A92" w:rsidP="009A7ED7">
      <w:r>
        <w:t>- De blijvende geloofwaardigheid van de G20 berust op haar vermogen om belangrijke stakeholders te engageren, om ingrijpende hervormingen van internationale financiële instellingen te coördineren, om transparante regelingen voor wederzijdse beoordeling te ontwikkelen en om een samenhang in beleidsontwikkeling en –uitvoering te verzekeren;</w:t>
      </w:r>
    </w:p>
    <w:p w:rsidR="00704A92" w:rsidRDefault="00704A92" w:rsidP="009A7ED7"/>
    <w:p w:rsidR="00704A92" w:rsidRDefault="00704A92" w:rsidP="009A7ED7">
      <w:r>
        <w:t>- Het behoud van de aandacht van de leiders op de collectieve onderneming wordt problematisch als de crisis terugwijkt, terwijl de potentiële opkomst van groepen binnen de G20 (op basis van gedeelde ervaringen en like-mindedness) de collectieve geest van het forum verzwakt.</w:t>
      </w:r>
    </w:p>
    <w:p w:rsidR="00704A92" w:rsidRDefault="00704A92" w:rsidP="009A7ED7">
      <w:pPr>
        <w:rPr>
          <w:b/>
        </w:rPr>
      </w:pPr>
    </w:p>
    <w:p w:rsidR="00704A92" w:rsidRDefault="00704A92" w:rsidP="009A7ED7">
      <w:pPr>
        <w:rPr>
          <w:b/>
        </w:rPr>
      </w:pPr>
      <w:r>
        <w:rPr>
          <w:b/>
        </w:rPr>
        <w:t>* Onvoltooide transformatie</w:t>
      </w:r>
    </w:p>
    <w:p w:rsidR="00704A92" w:rsidRDefault="00704A92" w:rsidP="009A7ED7">
      <w:r>
        <w:t xml:space="preserve">Qua structuur: dit forum lijkt het karakter te hebben van een geconstrueerde brandpunt (focal point) waarbij het beleid bij de belangrijke actoren gecoördineerd is in het centrum van besluitvorming. </w:t>
      </w:r>
    </w:p>
    <w:p w:rsidR="00704A92" w:rsidRDefault="00704A92" w:rsidP="009A7ED7"/>
    <w:p w:rsidR="00704A92" w:rsidRDefault="00704A92" w:rsidP="009A7ED7">
      <w:r>
        <w:t xml:space="preserve">G20 is geen afgewerkt project. Dit forum vertoont een ‘open plan’ (en in zekere mate betwisting) dat institutionele dunheid en kwetsbaarheid projecteert. </w:t>
      </w:r>
    </w:p>
    <w:p w:rsidR="00704A92" w:rsidRDefault="00704A92" w:rsidP="009A7ED7"/>
    <w:p w:rsidR="00704A92" w:rsidRDefault="00704A92" w:rsidP="009A7ED7">
      <w:r>
        <w:t>Tot op zekere hoogte lijkt de G20 haar agenda te hebben gelimiteerd richting een kleine groep van onderwerpen zoals toezicht op de nationale en collectieve stimulus uitgaven en exit strategieën (De term exitstrategie komt van moneymanagement en bepaalt, op diverse mogelijke criteria, wanneer een openstaande transactie wordt afgesloten). Sommigen zeggen dat zich bezighouden met zaken die verder gaan dan de financiële crisis, resulteert in een verlies aan momentum</w:t>
      </w:r>
      <w:r>
        <w:rPr>
          <w:rStyle w:val="FootnoteReference"/>
        </w:rPr>
        <w:footnoteReference w:id="1"/>
      </w:r>
      <w:r>
        <w:t xml:space="preserve"> voor de collectieve actie van de G20. </w:t>
      </w:r>
    </w:p>
    <w:p w:rsidR="00704A92" w:rsidRDefault="00704A92" w:rsidP="009A7ED7"/>
    <w:p w:rsidR="00704A92" w:rsidRDefault="00704A92" w:rsidP="009A7ED7">
      <w:r>
        <w:t xml:space="preserve">Het tweede punt van onvolledigheid heeft te maken met de status van de G20 als internationale organisatie. Eén van de meest indrukwekkende aspecten van de G20 is de bijeenroepingsmacht (convening power). De G20 is ook altijd in staat om de aanwezigheid van niet alleen individuele landen maar van internationale organisaties bijeen te halen </w:t>
      </w:r>
      <w:r>
        <w:rPr>
          <w:szCs w:val="20"/>
        </w:rPr>
        <w:sym w:font="Wingdings" w:char="F0E0"/>
      </w:r>
      <w:r>
        <w:t xml:space="preserve"> Deze bijeenroepingsmacht draagt bij tot het versterken van het imago van de G20 als een ‘new concert of powers’.</w:t>
      </w:r>
    </w:p>
    <w:p w:rsidR="00704A92" w:rsidRDefault="00704A92" w:rsidP="009A7ED7"/>
    <w:p w:rsidR="00704A92" w:rsidRDefault="00704A92" w:rsidP="009A7ED7">
      <w:r>
        <w:t xml:space="preserve">Derde punt van onvolledigheid steunt op de relatie tussen de G20 en andere G groepen. Het imago van de G20 als een hub of als een geconstrueerd brandpunt gaat ervan uit dat haar superioriteit van zulke omvang is dat andere G groepen zich in een ondergeschikte positie bevinden . Toch, in tegenstelling tot deze veronderstelling, zijn andere G groepen niet ‘verdord’. Wat nog belangrijk is, is de mate waarin de G20 perspectieven van andere landen kan absorberen in haar beraadslagingen en het genereren van strategische begeleiding voor de wereld op een set van mondiale uitdagingen. </w:t>
      </w:r>
    </w:p>
    <w:p w:rsidR="00704A92" w:rsidRDefault="00704A92" w:rsidP="009A7ED7">
      <w:pPr>
        <w:rPr>
          <w:b/>
        </w:rPr>
      </w:pPr>
    </w:p>
    <w:p w:rsidR="00704A92" w:rsidRDefault="00704A92" w:rsidP="009A7ED7">
      <w:pPr>
        <w:rPr>
          <w:b/>
        </w:rPr>
      </w:pPr>
      <w:r>
        <w:rPr>
          <w:b/>
        </w:rPr>
        <w:t>* Van crisis-buster tot stuurgroep</w:t>
      </w:r>
    </w:p>
    <w:p w:rsidR="00704A92" w:rsidRDefault="00704A92" w:rsidP="009A7ED7">
      <w:r>
        <w:t>Op binnenlands politiek niveau is de focus van de G20 als crisis comité prioriteit. De gecoördineerde infusie van grote hoeveelheden publiek geld, zowel direct (via nationale stimuleringsprogramma’s) als indirect (via meer financiële middelen voor internationale financiële instituties) heeft veel gedaan om nationale economieën aan te wakkeren na de crisis in oktober 2008.</w:t>
      </w:r>
    </w:p>
    <w:p w:rsidR="00704A92" w:rsidRDefault="00704A92" w:rsidP="009A7ED7"/>
    <w:p w:rsidR="00704A92" w:rsidRDefault="00704A92" w:rsidP="009A7ED7">
      <w:r>
        <w:t xml:space="preserve">In overeenstemming met de ‘Washington Plan of Action’ waren officieren van elk G20 land actief in de 4 werkgroepen (werkgroep 1: Enhancing Sound Regulation and Strengthening Transparency, werkgroep 2: Reinforcing International Co-operation and Promoting Integrity in Financial Markets, werkgroep 3: Reforming the IMF, werkgroep 4:de Wereldbank en andere multilaterale ontwikkelingsbanken) om plannen voor globale heropleving te ontwikkelen </w:t>
      </w:r>
      <w:r>
        <w:rPr>
          <w:szCs w:val="20"/>
        </w:rPr>
        <w:sym w:font="Wingdings" w:char="F0E0"/>
      </w:r>
      <w:r>
        <w:t xml:space="preserve"> Door deze stappen te zetten, toonde de G20 haar capaciteit om een toonaangevende rol te spelen in internationale crisis response waarbij collectief optreden van staten vervangen werd door bestaande institutionele overeenkomsten. Toch is het proces van heropleving fragiel waarbij problematische scenario’s mogelijk zijn, inclusief het vooruitzicht van een heropleving waarbij er nog steeds sprake is van werkloosheid, achterblijvende consumentenvertrouwen , verminderde output en strenge kredietvoorwaarden. Er is een ingebouwde prikkel bij overheidsofficieren om een bepaalde zaak aan te houden, en zullen ze de agenda niet verder uitbreiden totdat verbintenissen die  werden gemaakt op bijeenkomsten van leiders van de G20 (vooral Pittsburgh), zijn afgerond.</w:t>
      </w:r>
    </w:p>
    <w:p w:rsidR="00704A92" w:rsidRDefault="00704A92" w:rsidP="009A7ED7"/>
    <w:p w:rsidR="00704A92" w:rsidRDefault="00704A92" w:rsidP="009A7ED7">
      <w:r>
        <w:t>Tijdens Pittsburgh</w:t>
      </w:r>
      <w:r>
        <w:rPr>
          <w:rStyle w:val="FootnoteReference"/>
        </w:rPr>
        <w:footnoteReference w:id="2"/>
      </w:r>
      <w:r>
        <w:t xml:space="preserve"> in september 2009 was er een vooruitzicht dat er met de agenda van de G20 op een meer ambitieuze manier moet worden omgegaan. Meest opmerkelijk: de informele overeenkomst die gesloten werd tussen de VS en China waarbij ‘onevenwichtigheden’  geplaatst werden op de agenda in ruil voor maatregelen voor de hervorming van internationale financiële instituties. Maanden na Pittsburgh werden dergelijke vooruitzichten voor een uitgebreide consensus aanzienlijk uitgehold. De relatie tussen China en de VS werd op de proef gesteld te midden van kosten van verhoogde protectionisme en valuta manipulatie. In het algemeen werd de bereidheid en/of het vermogen van de G20 om haar mandaat uit te breiden, ingekort door de immobilisatie van de discussie rond zaken zoals het financieren van opties voor climate change op de bijeenkomst van ministers van financiën in St. Andrew in november 2009.</w:t>
      </w:r>
    </w:p>
    <w:p w:rsidR="00704A92" w:rsidRDefault="00704A92" w:rsidP="009A7ED7"/>
    <w:p w:rsidR="00704A92" w:rsidRDefault="00704A92" w:rsidP="009A7ED7">
      <w:r>
        <w:rPr>
          <w:szCs w:val="20"/>
        </w:rPr>
        <w:sym w:font="Wingdings" w:char="F0E0"/>
      </w:r>
      <w:r>
        <w:t xml:space="preserve"> De institutionele gevaren van het niet vorderen van de rol als crisis comité moet worden aangepast: de G20 op leiderschapsniveau was gebaseerd op het idee dat leiders dingen konden doen die ministers van financiën, officieren van de centrale bank en andere staatshoofden niet konden doen. Namelijk het mobiliseren van middelen, moeilijke trade-offs maken en hun ‘medeleven’ via hun betrokkenheid in tijden van economische crisis. Alleen tijdens uitzonderlijke omstandigheden dompelen leiders zichzelf onder in continue en diepe details van het publiek beleid. Een voorbeeld hiervan is de economische crisis, maar er is een beperking aan persoonlijke betrokkenheid. (Vraag mij echt niet wat ik hier allemaal heb opgeschreven he, maar die tekst is echt zooo moeilijk! Ik ben gewoon letterlijk aant vertalen..) </w:t>
      </w:r>
    </w:p>
    <w:p w:rsidR="00704A92" w:rsidRDefault="00704A92" w:rsidP="009A7ED7"/>
    <w:p w:rsidR="00704A92" w:rsidRDefault="00704A92" w:rsidP="009A7ED7">
      <w:r>
        <w:t xml:space="preserve">Als de G20 haar mandaat niet uitbreidt, bestaat er een fundamenteel risico dat wanneer de crisis zich terugtrekt, leiders zich sneller kunnen terugtrekken dan elk ander gecoördineerde exit strategie  van de stimuleringsuitgaven. In tijden van economische crisis, om economische of politieke redenen nemen leiders nemen zaken op die anders onder de bevoegdheid vallen van ministers, hoogambtenaren en andere bureaucraten. Leiders zijn gewoonweg geïnteresseerd in alle materie, die zowel de oorzaken als de effecten zijn van de crisis, hoewel de duurzaamheid van hun betrokkenheid in vraag gesteld kan worden op langere tijd. </w:t>
      </w:r>
    </w:p>
    <w:p w:rsidR="00704A92" w:rsidRDefault="00704A92" w:rsidP="009A7ED7">
      <w:pPr>
        <w:rPr>
          <w:b/>
        </w:rPr>
      </w:pPr>
    </w:p>
    <w:p w:rsidR="00704A92" w:rsidRDefault="00704A92" w:rsidP="009A7ED7">
      <w:pPr>
        <w:rPr>
          <w:b/>
        </w:rPr>
      </w:pPr>
      <w:r>
        <w:rPr>
          <w:b/>
        </w:rPr>
        <w:t>* Hub and spoke institutions</w:t>
      </w:r>
    </w:p>
    <w:p w:rsidR="00704A92" w:rsidRDefault="00704A92" w:rsidP="009A7ED7">
      <w:r>
        <w:t xml:space="preserve">Tijdens de financiële crisis op het einde van 2008, was de G20 duidelijk in overmacht tegenover andere instituties, inclusief het IMF. Alle instituties hadden te maken met een gebrek aan legitimiteit. </w:t>
      </w:r>
    </w:p>
    <w:p w:rsidR="00704A92" w:rsidRDefault="00704A92" w:rsidP="009A7ED7"/>
    <w:p w:rsidR="00704A92" w:rsidRDefault="00704A92" w:rsidP="009A7ED7">
      <w:r>
        <w:t xml:space="preserve">Dankzij ‘The Washington Plan of Action’ kon de G20 zichzelf positioneren als de hoofdzakelijke crisis comité over andere instituties door het vestigen van werkgroepen 3 en 4. Via deze groepen tracht de G20 collectieve posities te vormen om pogingen tot hervorming te doen van het IMF, de Wereldbank en andere multilaterale ontwikkelingsbanken. De incrementele hervormingen van internationale financiële instituties (voortgebracht op Pittsburgh bijeenkomst in Londen) was bedoeld om hun management comités  te updaten en stemrechten voor opkomende economieën te verhogen. Dit vertegenwoordigt niet enkel een modernisatie van hun governance structuren, maar ondersteunt ook de G20 als een stuurgroep. </w:t>
      </w:r>
    </w:p>
    <w:p w:rsidR="00704A92" w:rsidRDefault="00704A92" w:rsidP="009A7ED7"/>
    <w:p w:rsidR="00704A92" w:rsidRDefault="00704A92" w:rsidP="009A7ED7">
      <w:r>
        <w:t xml:space="preserve">Het IMF en de Wereldbank werden tegelijkertijd gevraagd om hulp voordat kritische bestuurlijke hervormingen zouden geïmplementeerd kunnen worden </w:t>
      </w:r>
      <w:r>
        <w:rPr>
          <w:szCs w:val="20"/>
        </w:rPr>
        <w:sym w:font="Wingdings" w:char="F0E0"/>
      </w:r>
      <w:r>
        <w:t xml:space="preserve"> deze situatie bemoeilijkt een effectieve response in tijden van een crisis. Beide instituties waren slecht uitgerust om de macro-economische crisis in ontwikkelingslanden aan te pakken. Ze vertrouwden te veel op waarschuwende praktijken die gericht waren op het beperken van de risico’s ten koste van landen met de grootste behoeften. </w:t>
      </w:r>
      <w:r>
        <w:rPr>
          <w:szCs w:val="20"/>
        </w:rPr>
        <w:sym w:font="Wingdings" w:char="F0E0"/>
      </w:r>
      <w:r>
        <w:t xml:space="preserve"> De G20 is opgericht als organisatie die voorbereid is op een crisis. Ze kan de onmiddellijke verspreiding van de wereldwijde economische teruggang verlagen, maar dergelijke innovatieve governance was niet op zijn plaats om ontwikkelingslanden te beschermen op dezelfde manier.   Voltooiing van voorgestelde hervormingen van het IMF en de Wereldbank is noodzakelijk om de diepte van ‘weerkaatsingen’ van de crisis te beperken en deze instituties voor te bereiden op een volgende economische teruggang. </w:t>
      </w:r>
    </w:p>
    <w:p w:rsidR="00704A92" w:rsidRDefault="00704A92" w:rsidP="009A7ED7"/>
    <w:p w:rsidR="00704A92" w:rsidRDefault="00704A92" w:rsidP="009A7ED7">
      <w:r>
        <w:t xml:space="preserve">Een onverwacht gevolg van de crisis, op functioneel niveau, was de hernieuwde opkomst van het IMF als een geloofwaardige en centrale instelling. Het IMF heeft zich niet alleen terug getrokken in het verschaffen van leningen, maar het werd toevertrouwd om een systeem op te zetten voor het vroegtijdig waarschuwen van aankomende crisissen, in coördinatie met de FSB (Financial Stability Board) met het argument dat ze samen beter kunnen presteren dan privé sector analisten en forecasters (inclusief ratingbureaus) waarbij er sprake is van belangenconflicten. </w:t>
      </w:r>
    </w:p>
    <w:p w:rsidR="00704A92" w:rsidRDefault="00704A92" w:rsidP="009A7ED7"/>
    <w:p w:rsidR="00704A92" w:rsidRDefault="00704A92" w:rsidP="009A7ED7">
      <w:r>
        <w:t xml:space="preserve">Verschillende verklaringen zeggen dat het IMF zich in een ondergeschikte positie bevindt tegenover de G20. De rol van het IMF is lidstaten van de G20 hun beleidsvoeringen helpen aan te passen en om de implicaties van deze beleidsvoeringen te beoordelen. </w:t>
      </w:r>
    </w:p>
    <w:p w:rsidR="00704A92" w:rsidRDefault="00704A92" w:rsidP="009A7ED7"/>
    <w:p w:rsidR="00704A92" w:rsidRDefault="00704A92" w:rsidP="009A7ED7">
      <w:r>
        <w:t xml:space="preserve">De G20 wordt gezien als een organisatie die het IMF helpt te versterken. In december 2009: de taak van het IMF verschoven van reddingswerkzaamheden naar het verzekeren van stabiliteit op lange termijn. Doel van het IMF gedurende 6 maanden tijdens financiële crisis was landen helpen strategieën op te bouwen om een overschot aan liquiditeit terug te schroeven. </w:t>
      </w:r>
    </w:p>
    <w:p w:rsidR="00704A92" w:rsidRDefault="00704A92" w:rsidP="009A7ED7"/>
    <w:p w:rsidR="00704A92" w:rsidRDefault="00704A92" w:rsidP="009A7ED7">
      <w:r>
        <w:t xml:space="preserve">Eén van de katalytische functies van de G20 was het creëren van de FSB – ter vervanging van the Financial Stability Forum – en het toevertrouwen van belangrijke verantwoordelijkheden in internationaal financieel toezicht en het monitoren van nationaal economische beleidsvoeringen om gebalanceerde en duurzame groei te promoten. </w:t>
      </w:r>
    </w:p>
    <w:p w:rsidR="00704A92" w:rsidRDefault="00704A92" w:rsidP="009A7ED7"/>
    <w:p w:rsidR="00704A92" w:rsidRDefault="00704A92" w:rsidP="009A7ED7">
      <w:r>
        <w:t xml:space="preserve">Tijdens de Londen Summit: het was duidelijk dat de G20 niet geïnstitutionaliseerd genoeg was om beleidimplementatie overheen alle lidstaten door te voeren. Het publiek werd zich bewust dat er niet genoeg toezicht was op de financiële markten in de VS, in andere grote economieën en internationaal. Het publiek had nood aan een overheden die bereid waren en in staat waren om grotere verantwoordelijkheid te nemen over financiële volatiliteit. </w:t>
      </w:r>
    </w:p>
    <w:p w:rsidR="00704A92" w:rsidRDefault="00704A92" w:rsidP="009A7ED7"/>
    <w:p w:rsidR="00704A92" w:rsidRDefault="00704A92" w:rsidP="009A7ED7">
      <w:r>
        <w:rPr>
          <w:szCs w:val="20"/>
        </w:rPr>
        <w:sym w:font="Wingdings" w:char="F0E0"/>
      </w:r>
      <w:r>
        <w:t xml:space="preserve"> Allemaal redenen voor het IMF om de FSB op te richten, maar deze innovatie was veel meer dan gewoon symbolisch aangezien deze een nieuw ‘toolkit’ verschafte en een nieuw forum voor internationaal financiële regelaars. Toch zijn er limieten aan de FSB verbonden: de organisatie opereert binnen een bepaald budget, met een beperkt aantal personeelsleden, ondanks de grote verantwoordelijkheden en verwachtingen die ermee gepaard gaan. </w:t>
      </w:r>
    </w:p>
    <w:p w:rsidR="00704A92" w:rsidRDefault="00704A92" w:rsidP="009A7ED7"/>
    <w:p w:rsidR="00704A92" w:rsidRDefault="00704A92" w:rsidP="009A7ED7">
      <w:r>
        <w:t>De VN heeft zich gemarginaliseerd van het proces in plaats van zichzelf te vestigen als een centraal component van het G20 model. Deze afstandstrend werd nog eens versterkt dor het gebruik van de Algemene Vergadering van de VN door specifieke leden om hun ontevredenheid te uiten. In plaats van meer systematisch te werk te gaan om de response van de G20 op de crisis te ondersteunen of te complementeren, heeft de Algemene Vergadering van de Verenigde Naties een forum aangemaakt voor burgers waarvan de rechten ontnomen werden zodat zij weerstand kunnen uitspreken. De voornaamste bron van deze strijd is afkomstig van het initiatief van de AVVN president om een groep van experts, onder leiding van Stiglitz, bijeen te roepen om hervormingen van het internationaal en monetair systeem voor te stellen. In de aanloop naar de rol als stuurgroep, is het voor de G20 belangrijk of de VN zich al dan niet aanpast aan of al dan niet G20 initiatieven ondersteunt.</w:t>
      </w:r>
    </w:p>
    <w:p w:rsidR="00704A92" w:rsidRPr="00A05EF5" w:rsidRDefault="00704A92" w:rsidP="009A7ED7">
      <w:pPr>
        <w:rPr>
          <w:b/>
          <w:lang w:val="en-US"/>
        </w:rPr>
      </w:pPr>
      <w:r w:rsidRPr="00A05EF5">
        <w:rPr>
          <w:b/>
          <w:lang w:val="en-US"/>
        </w:rPr>
        <w:t>*Passing the tests of architectural reform</w:t>
      </w:r>
    </w:p>
    <w:p w:rsidR="00704A92" w:rsidRDefault="00704A92" w:rsidP="009A7ED7">
      <w:r w:rsidRPr="00A05EF5">
        <w:t xml:space="preserve">De testen die de G20 nog moet doorstaan hebben betrekking op zowel systematische als institutionele dimensies. </w:t>
      </w:r>
    </w:p>
    <w:p w:rsidR="00704A92" w:rsidRDefault="00704A92" w:rsidP="009A7ED7">
      <w:pPr>
        <w:rPr>
          <w:b/>
        </w:rPr>
      </w:pPr>
      <w:r>
        <w:rPr>
          <w:b/>
        </w:rPr>
        <w:t>Uitdagingen op korte termijn</w:t>
      </w:r>
    </w:p>
    <w:p w:rsidR="00704A92" w:rsidRDefault="00704A92" w:rsidP="009A7ED7">
      <w:pPr>
        <w:pStyle w:val="ListParagraph"/>
        <w:numPr>
          <w:ilvl w:val="0"/>
          <w:numId w:val="36"/>
        </w:numPr>
        <w:spacing w:after="200" w:line="276" w:lineRule="auto"/>
        <w:rPr>
          <w:b/>
        </w:rPr>
      </w:pPr>
      <w:r>
        <w:rPr>
          <w:b/>
        </w:rPr>
        <w:t>Hervorming van de regelgeving en de nationale terugval</w:t>
      </w:r>
    </w:p>
    <w:p w:rsidR="00704A92" w:rsidRDefault="00704A92" w:rsidP="009A7ED7">
      <w:r>
        <w:t xml:space="preserve">Hervormingen van internationaal financiële systemen kunnen niet worden gerealiseerd in een kort tijdsinterval. Controle en beleidsinitiatieven in dit domein zijn verschoven naar nationaal niveau. </w:t>
      </w:r>
    </w:p>
    <w:p w:rsidR="00704A92" w:rsidRDefault="00704A92" w:rsidP="009A7ED7">
      <w:r>
        <w:t xml:space="preserve">Belangrijkste keerpunt in januari 2010: beslissing van the Obama administration om ‘financial crisis responsibility fee’ in te voeren om belastingsgelden terug te winnen  en het risico bij banken te verminderen </w:t>
      </w:r>
      <w:r>
        <w:rPr>
          <w:szCs w:val="20"/>
        </w:rPr>
        <w:sym w:font="Wingdings" w:char="F0E0"/>
      </w:r>
      <w:r>
        <w:t xml:space="preserve"> Dit unilateraal optreden van de VS compliceerde het gezamenlijk optreden via de G20 met als doel een heffing op verzekeringen of belastingen op banken in te voeren, aangezien andere landen tegen zulke initiatieven waren. Sommige prominente figuren in de privésector beweren dat de VS zijn eigen hervorming van de regelgeving naar voren brengt, ten koste van gezamenlijke actie </w:t>
      </w:r>
      <w:r>
        <w:rPr>
          <w:szCs w:val="20"/>
        </w:rPr>
        <w:sym w:font="Wingdings" w:char="F0E0"/>
      </w:r>
      <w:r>
        <w:t xml:space="preserve"> Binnenlandse politieke overwegingen lijken voorrang te krijgen boven de ontwikkeling van mondiale consensus. </w:t>
      </w:r>
    </w:p>
    <w:p w:rsidR="00704A92" w:rsidRDefault="00704A92" w:rsidP="009A7ED7">
      <w:r>
        <w:t xml:space="preserve">Op korte termijn is zijn er dus beperkingen aan de ontplooiing van de G20. </w:t>
      </w:r>
    </w:p>
    <w:p w:rsidR="00704A92" w:rsidRPr="00130210" w:rsidRDefault="00704A92" w:rsidP="009A7ED7">
      <w:pPr>
        <w:pStyle w:val="ListParagraph"/>
        <w:numPr>
          <w:ilvl w:val="0"/>
          <w:numId w:val="36"/>
        </w:numPr>
        <w:spacing w:after="200" w:line="276" w:lineRule="auto"/>
      </w:pPr>
      <w:r>
        <w:rPr>
          <w:b/>
        </w:rPr>
        <w:t>Het opstellen van G20 parameters</w:t>
      </w:r>
    </w:p>
    <w:p w:rsidR="00704A92" w:rsidRDefault="00704A92" w:rsidP="009A7ED7">
      <w:r>
        <w:t xml:space="preserve">De bereidheid van de G20, als een collectieve entiteit, om verder te gaan dan haar rol als globale crisis comité wordt het best geïllustreerd door haar reactie op de aardbeving in Haïti. De directe medewerkers van de regeringsleiders (sherpa) van lidstaten hadden meteen een bijeenkomst gepland in Mexico </w:t>
      </w:r>
      <w:r>
        <w:rPr>
          <w:szCs w:val="20"/>
        </w:rPr>
        <w:sym w:font="Wingdings" w:char="F0E0"/>
      </w:r>
      <w:r>
        <w:t xml:space="preserve"> De G20 was in staat te handelen op een consensuele basis. </w:t>
      </w:r>
    </w:p>
    <w:p w:rsidR="00704A92" w:rsidRDefault="00704A92" w:rsidP="009A7ED7">
      <w:r>
        <w:t xml:space="preserve">De verbindende factor van de G20 is het idee dat collectieve actie betere resultaten produceert in tijden van crisis. Echter, wanneer de crisis zich terugtrekt, kunnen G7 en G8 landen terug gaan naar hun voorkeur voor gelijkgestemdheid (like-mindedness) die voor tot een concurrerende omgeving binnen de G20 leidt. </w:t>
      </w:r>
    </w:p>
    <w:p w:rsidR="00704A92" w:rsidRDefault="00704A92" w:rsidP="009A7ED7">
      <w:pPr>
        <w:rPr>
          <w:b/>
        </w:rPr>
      </w:pPr>
      <w:r>
        <w:rPr>
          <w:b/>
        </w:rPr>
        <w:t>Uitdagingen op middellange termijn</w:t>
      </w:r>
    </w:p>
    <w:p w:rsidR="00704A92" w:rsidRDefault="00704A92" w:rsidP="009A7ED7">
      <w:pPr>
        <w:pStyle w:val="ListParagraph"/>
        <w:numPr>
          <w:ilvl w:val="0"/>
          <w:numId w:val="36"/>
        </w:numPr>
        <w:spacing w:after="200" w:line="276" w:lineRule="auto"/>
        <w:rPr>
          <w:b/>
        </w:rPr>
      </w:pPr>
      <w:r>
        <w:rPr>
          <w:b/>
        </w:rPr>
        <w:t>Coordinated exit from stimulus programs</w:t>
      </w:r>
    </w:p>
    <w:p w:rsidR="00704A92" w:rsidRDefault="00704A92" w:rsidP="009A7ED7">
      <w:r>
        <w:t xml:space="preserve">Eerste minister Harper benadrukt de verbinding tussen het opstellen van een geloofwaardig plan voor een exit strategie met gevolgen die verder gaan dan het puur economische. Verder beweert hij dat </w:t>
      </w:r>
      <w:r w:rsidRPr="00B326D3">
        <w:t>problemen door een gebrek aan</w:t>
      </w:r>
      <w:r>
        <w:t xml:space="preserve"> duurzame groei uiteindelijk zullen</w:t>
      </w:r>
      <w:r w:rsidRPr="00B326D3">
        <w:t xml:space="preserve"> overslaan naar kwesties van veiligheid van het milieu, alsmede vredes-en veiligheidsvraagstukken</w:t>
      </w:r>
      <w:r>
        <w:t xml:space="preserve">. </w:t>
      </w:r>
    </w:p>
    <w:p w:rsidR="00704A92" w:rsidRDefault="00704A92" w:rsidP="009A7ED7">
      <w:r>
        <w:t>Twee significante risico’s die gerelateerd zijn aan exit strategieën houden aan:</w:t>
      </w:r>
    </w:p>
    <w:p w:rsidR="00704A92" w:rsidRDefault="00704A92" w:rsidP="009A7ED7">
      <w:r>
        <w:t xml:space="preserve">1) Er is nood aan een voorzichtige aanpak betreffende de vraag wanneer men moet besluiten om tot een collectieve uitspraak te komen over de vraag of de genomen expansieve fiscale maatregelen tot nu toe voldoende, onvoldoende of buitensporig zijn. </w:t>
      </w:r>
    </w:p>
    <w:p w:rsidR="00704A92" w:rsidRDefault="00704A92" w:rsidP="009A7ED7">
      <w:r>
        <w:t xml:space="preserve">2) Langdurige fiscale expansie loopt het risico inflatie te genereren. Wanneer men te vroeg overgaat op een exit strategie, kan dit het herstel van de economie in het gevaar brengen waardoor een tweede ronde van fiscale stimuleringsmaatregelen vereist is. Dit verstoort niet alleen markten en cyclische dynamiek in het herstel , maar stelt ook het vermogen van de G20 als ‘herder’ van internationale economische samenwerking in vraag. </w:t>
      </w:r>
    </w:p>
    <w:p w:rsidR="00704A92" w:rsidRDefault="00704A92" w:rsidP="009A7ED7"/>
    <w:p w:rsidR="00704A92" w:rsidRPr="008760E8" w:rsidRDefault="00704A92" w:rsidP="009A7ED7">
      <w:pPr>
        <w:pStyle w:val="ListParagraph"/>
        <w:numPr>
          <w:ilvl w:val="0"/>
          <w:numId w:val="36"/>
        </w:numPr>
        <w:spacing w:after="200" w:line="276" w:lineRule="auto"/>
      </w:pPr>
      <w:r>
        <w:rPr>
          <w:b/>
        </w:rPr>
        <w:t>Institutionaliserende flexibiliteit</w:t>
      </w:r>
    </w:p>
    <w:p w:rsidR="00704A92" w:rsidRDefault="00704A92" w:rsidP="009A7ED7">
      <w:r>
        <w:t xml:space="preserve">Als de G20 een nieuwe stuurgroep wil vertegenwoordigen, dan zal zij dit niet bereiken via strakke controle. Bv. het IMFC (International Monetary and Finance Committee) is een besluitvormingsorgaan geworden van het IMF en bestaat uit G20 landen eerder dan kiesdistricten, als een manier om een betere coherentie tussen toppen en internationale instituties te bereiken </w:t>
      </w:r>
      <w:r>
        <w:rPr>
          <w:szCs w:val="20"/>
        </w:rPr>
        <w:sym w:font="Wingdings" w:char="F0E0"/>
      </w:r>
      <w:r>
        <w:t xml:space="preserve"> Misschien wordt er hier toch een beetje te veel gesteund op het coherentie argument omdat er organisatorische ‘muren’ kunnen ontstaan waarbij landen die niet tot de G20 behoren, worden uitgesloten van het strategisch leiderschap afkomstig van de G20 zelf eerder dan het samenbrengen van andere landen in een breder, meer flexibel en inclusief proces van topconferenties. </w:t>
      </w:r>
    </w:p>
    <w:p w:rsidR="00704A92" w:rsidRPr="00B8439C" w:rsidRDefault="00704A92" w:rsidP="009A7ED7">
      <w:pPr>
        <w:pStyle w:val="ListParagraph"/>
        <w:numPr>
          <w:ilvl w:val="0"/>
          <w:numId w:val="36"/>
        </w:numPr>
        <w:spacing w:after="200" w:line="276" w:lineRule="auto"/>
      </w:pPr>
      <w:r>
        <w:rPr>
          <w:b/>
        </w:rPr>
        <w:t>Terug naar de normaliteit</w:t>
      </w:r>
    </w:p>
    <w:p w:rsidR="00704A92" w:rsidRDefault="00704A92" w:rsidP="009A7ED7">
      <w:r>
        <w:t xml:space="preserve">Hoewel normaliteit wordt verworpen als een economische voorwaarde, zullen leiders toch de neiging hebben om terug te gaan naar traditionele patronen zodra de crisis voorbij is. </w:t>
      </w:r>
    </w:p>
    <w:p w:rsidR="00704A92" w:rsidRDefault="00704A92" w:rsidP="009A7ED7">
      <w:r>
        <w:t>De G20 moet de capaciteit hebben om te kunnen optreden in tijden van crisis maar moet het zelfs kunnen afwenden voor het zich voordoet.</w:t>
      </w:r>
    </w:p>
    <w:p w:rsidR="00704A92" w:rsidRPr="004975DB" w:rsidRDefault="00704A92" w:rsidP="009A7ED7">
      <w:r>
        <w:rPr>
          <w:b/>
        </w:rPr>
        <w:t>* Primaat van traditionele bevoegdheden</w:t>
      </w:r>
      <w:r>
        <w:t xml:space="preserve">: </w:t>
      </w:r>
      <w:r>
        <w:rPr>
          <w:b/>
        </w:rPr>
        <w:t>probleem van gelijkgestemdheid (like-mindedness)</w:t>
      </w:r>
      <w:r w:rsidRPr="004975DB">
        <w:rPr>
          <w:b/>
        </w:rPr>
        <w:t>?</w:t>
      </w:r>
    </w:p>
    <w:p w:rsidR="00704A92" w:rsidRDefault="00704A92" w:rsidP="009A7ED7">
      <w:pPr>
        <w:ind w:left="360"/>
      </w:pPr>
      <w:r>
        <w:t>Het imago van de G20 als een brandpunt of een herontworpen ‘concert of powers’ is gebaseerd op een fundamentele identiteitsverandering of een verandering in belang van haar leden. Wat zo verschillend is aan de G20, is dat er geen sprake is van een ingebedde vorm van gelijkgestemdheid. Als de G20 ‘samen wilt smelten’ dan moet zij dit doen via gedeelde identiteit en collectieve belangen.</w:t>
      </w:r>
    </w:p>
    <w:p w:rsidR="00704A92" w:rsidRDefault="00704A92" w:rsidP="009A7ED7">
      <w:pPr>
        <w:ind w:left="360"/>
      </w:pPr>
    </w:p>
    <w:p w:rsidR="00704A92" w:rsidRDefault="00704A92" w:rsidP="009A7ED7">
      <w:pPr>
        <w:ind w:left="360"/>
      </w:pPr>
      <w:r>
        <w:t>Een dergelijke bevoorrechting van pragmatisme</w:t>
      </w:r>
      <w:r>
        <w:rPr>
          <w:rStyle w:val="FootnoteReference"/>
        </w:rPr>
        <w:footnoteReference w:id="3"/>
      </w:r>
      <w:r>
        <w:t>mondt uit in twee soorten van problemen:</w:t>
      </w:r>
    </w:p>
    <w:p w:rsidR="00704A92" w:rsidRDefault="00704A92" w:rsidP="009A7ED7">
      <w:pPr>
        <w:ind w:left="360"/>
      </w:pPr>
    </w:p>
    <w:p w:rsidR="00704A92" w:rsidRDefault="00704A92" w:rsidP="009A7ED7">
      <w:pPr>
        <w:ind w:left="360"/>
      </w:pPr>
      <w:r>
        <w:t xml:space="preserve">1) Individuele landen binnen de G20 kunnen de voorkeur geven aan ondergeschikt te zijn aan collectieve actie binnen de G20 tegenover binnenlandse politieke voorkeuren. </w:t>
      </w:r>
    </w:p>
    <w:p w:rsidR="00704A92" w:rsidRDefault="00704A92" w:rsidP="009A7ED7">
      <w:pPr>
        <w:ind w:left="360"/>
      </w:pPr>
    </w:p>
    <w:p w:rsidR="00704A92" w:rsidRDefault="00704A92" w:rsidP="009A7ED7">
      <w:pPr>
        <w:ind w:left="360"/>
      </w:pPr>
      <w:r>
        <w:t xml:space="preserve">2) De problemen gaan verder dan belangen: ze onderstrepen het veranderlijk karakter van een gedeelde identiteit binnen de G20. Naties kunnen samenkomen in tijden van crisis maar ze zijn al dan niet bereid om de G20 het brandpunt te maken van hun primaire focus in termen van diplomatische activiteiten naast hun primaire focus in termen van internationale organisatie. </w:t>
      </w:r>
    </w:p>
    <w:p w:rsidR="00704A92" w:rsidRDefault="00704A92" w:rsidP="009A7ED7">
      <w:pPr>
        <w:ind w:left="360"/>
      </w:pPr>
    </w:p>
    <w:p w:rsidR="00704A92" w:rsidRDefault="00704A92" w:rsidP="009A7ED7">
      <w:pPr>
        <w:ind w:left="360"/>
      </w:pPr>
      <w:r>
        <w:t xml:space="preserve">De G8 is geen toereikende groep meer om met grote economische en financiële zaken te handelen, de G20 daarentegen, als een alternatief forum, heeft wel goed gewerkt als een crisis comité. </w:t>
      </w:r>
    </w:p>
    <w:p w:rsidR="00704A92" w:rsidRDefault="00704A92" w:rsidP="009A7ED7">
      <w:pPr>
        <w:ind w:left="360"/>
      </w:pPr>
    </w:p>
    <w:p w:rsidR="00704A92" w:rsidRDefault="00704A92" w:rsidP="009A7ED7">
      <w:pPr>
        <w:ind w:left="360"/>
      </w:pPr>
      <w:r>
        <w:t xml:space="preserve">De G8 zal blijven bestaan. Het zal niet het eerste orgaan zijn voor economische samenwerking, maar het speelt wel een actieve rol in het oplossen van problemen rond ontwikkeling en internationale vrede en veiligheid. </w:t>
      </w:r>
    </w:p>
    <w:p w:rsidR="00704A92" w:rsidRDefault="00704A92" w:rsidP="009A7ED7">
      <w:pPr>
        <w:ind w:left="360"/>
      </w:pPr>
    </w:p>
    <w:p w:rsidR="00704A92" w:rsidRDefault="00704A92" w:rsidP="009A7ED7">
      <w:pPr>
        <w:ind w:left="360"/>
      </w:pPr>
      <w:r>
        <w:t xml:space="preserve">Sinds Pittsburgh is de bevoorrechting van gelijkgestemdheid dat momentum heeft gewonnen. </w:t>
      </w:r>
    </w:p>
    <w:p w:rsidR="00704A92" w:rsidRDefault="00704A92" w:rsidP="009A7ED7">
      <w:pPr>
        <w:ind w:left="360"/>
      </w:pPr>
    </w:p>
    <w:p w:rsidR="00704A92" w:rsidRDefault="00704A92" w:rsidP="009A7ED7">
      <w:pPr>
        <w:ind w:left="360"/>
        <w:rPr>
          <w:b/>
        </w:rPr>
      </w:pPr>
      <w:r>
        <w:rPr>
          <w:b/>
        </w:rPr>
        <w:t>* Outreach inspanningen en interne ontkoppelingen</w:t>
      </w:r>
    </w:p>
    <w:p w:rsidR="00704A92" w:rsidRDefault="00704A92" w:rsidP="009A7ED7">
      <w:pPr>
        <w:ind w:left="360"/>
      </w:pPr>
      <w:r>
        <w:t>Een tegenhanger van de G7/G8 zou ingebed kunnen worden via een uitbreiding van de BRIC-landen en/of van de IBSA (India-Brazilië-Zuid-Afrika) of zelfs van de G5van het Heilgendamm-L’Aquila proces (Brazilië-China-India-Mexico-Zuid-Afrika). Er bestaat ook het risico dat, in combinatie met interne scheuren, China, India, Brazilië en andere landen beginnen met het compenseren van hun rol binnen de G20 met meer geaccentueerd leiderschap in alternatieve organisaties zoals the Shanghai Cooperation Organization, the BRIC top of IBSA. Zulk gedrag zou uiteindelijk kunnen leiden tot de erosie van de centraliteit van de G20.</w:t>
      </w:r>
    </w:p>
    <w:p w:rsidR="00704A92" w:rsidRDefault="00704A92" w:rsidP="009A7ED7">
      <w:pPr>
        <w:ind w:left="360"/>
      </w:pPr>
    </w:p>
    <w:p w:rsidR="00704A92" w:rsidRDefault="00704A92" w:rsidP="009A7ED7">
      <w:pPr>
        <w:ind w:left="360"/>
      </w:pPr>
      <w:r>
        <w:t xml:space="preserve">Het succes van de G20 lijkt tot nu toe voor een deel te berusten op de diversiteit in haar lidmaatschap. Dit creëert een dynamiek voor het verschuiven van coalities van consensus die afhankelijk is van het probleem in kwestie ipv consistente toetreding tot posities per blok of regio. </w:t>
      </w:r>
    </w:p>
    <w:p w:rsidR="00704A92" w:rsidRDefault="00704A92" w:rsidP="009A7ED7">
      <w:pPr>
        <w:ind w:left="360"/>
      </w:pPr>
    </w:p>
    <w:p w:rsidR="00704A92" w:rsidRDefault="00704A92" w:rsidP="009A7ED7">
      <w:pPr>
        <w:ind w:left="360"/>
      </w:pPr>
      <w:r>
        <w:t xml:space="preserve">Er is nog steeds een ondervertegenwoordigd aandeel van kleinere landen met lage inkomens in de G20. De G20 heeft ook niet voldoende kanalen ontwikkeld voor beleidsdialogen of om te communiceren met bedrijfsleiders en het maatschappelijk middenveld. </w:t>
      </w:r>
    </w:p>
    <w:p w:rsidR="00704A92" w:rsidRDefault="00704A92" w:rsidP="009A7ED7">
      <w:pPr>
        <w:ind w:left="360"/>
      </w:pPr>
    </w:p>
    <w:p w:rsidR="00704A92" w:rsidRDefault="00704A92" w:rsidP="009A7ED7">
      <w:pPr>
        <w:ind w:left="360"/>
      </w:pPr>
      <w:r>
        <w:t>De oprichting van de G20 reflecteert structurele verschuivingen in globale macht in het begin van de 21</w:t>
      </w:r>
      <w:r w:rsidRPr="004146B4">
        <w:rPr>
          <w:vertAlign w:val="superscript"/>
        </w:rPr>
        <w:t>ste</w:t>
      </w:r>
      <w:r>
        <w:t xml:space="preserve"> eeuw. Er is wel sprake van Eurocentrisme. Deze oververtegenwoordiging van Europa wordt overdreven door het imago van de G20 die niet genoeg opkomende landen opneemt. Alle 4 BRIC landen zijn leden van de G20, maar uiteindelijk wordt lidmaatschap niet bepaald door de huidige positie van individuele landen maar door de erfenis van de laatste grote golf van financiële schokken.  Het probleem van regionale onevenwichtigheid wordt nog eens versterkt door de ondervertegenwoordiging van Afrika in de G20 </w:t>
      </w:r>
      <w:r>
        <w:rPr>
          <w:szCs w:val="20"/>
        </w:rPr>
        <w:sym w:font="Wingdings" w:char="F0E0"/>
      </w:r>
      <w:r>
        <w:t xml:space="preserve"> Enkel Zuid-Afrika. </w:t>
      </w:r>
    </w:p>
    <w:p w:rsidR="00704A92" w:rsidRDefault="00704A92" w:rsidP="009A7ED7">
      <w:pPr>
        <w:ind w:left="360"/>
      </w:pPr>
    </w:p>
    <w:p w:rsidR="00704A92" w:rsidRDefault="00704A92" w:rsidP="009A7ED7">
      <w:pPr>
        <w:ind w:left="360"/>
      </w:pPr>
      <w:r>
        <w:t xml:space="preserve">Succesverhaal van de G20: Zuid-Afrika nam het initiatief om het regionaal ‘committee of ten’ ministers van financiën (C10) te engageren, om een indirecte vorm van toegang tot een cluster van andere Afrikaanse landen te verschaffen. </w:t>
      </w:r>
    </w:p>
    <w:p w:rsidR="00704A92" w:rsidRDefault="00704A92" w:rsidP="009A7ED7">
      <w:pPr>
        <w:ind w:left="360"/>
      </w:pPr>
    </w:p>
    <w:p w:rsidR="00704A92" w:rsidRDefault="00704A92" w:rsidP="009A7ED7">
      <w:pPr>
        <w:ind w:left="360"/>
      </w:pPr>
      <w:r>
        <w:t xml:space="preserve">Voorbeeld: Brazilië, Mexico en Argentinië kunnen overeenkomen dat één van hen tijdens meetings de perspectieven en standpunten van andere Latijn-Amerikaanse of Caribische landen die niet lid zijn van de G20, te vertegenwoordigen. De verantwoordelijkheid van globaal leiderschap is dus gelijk  aan het vertegenwoordigen van mensen van andere landen, evenals degenen die geen andere middelen hebben om hun standpunten te laten horen in het G20 forum, en niet alleen je eigen natie. </w:t>
      </w:r>
    </w:p>
    <w:p w:rsidR="00704A92" w:rsidRDefault="00704A92" w:rsidP="009A7ED7">
      <w:pPr>
        <w:ind w:left="360"/>
      </w:pPr>
    </w:p>
    <w:p w:rsidR="00704A92" w:rsidRDefault="00704A92" w:rsidP="009A7ED7">
      <w:pPr>
        <w:ind w:left="360"/>
      </w:pPr>
      <w:r>
        <w:t xml:space="preserve">Er is nu steeds meer concurrentie tussen private instituties en traditionele nationale en internationale organen. </w:t>
      </w:r>
    </w:p>
    <w:p w:rsidR="00704A92" w:rsidRDefault="00704A92" w:rsidP="009A7ED7">
      <w:pPr>
        <w:ind w:left="360"/>
        <w:rPr>
          <w:b/>
        </w:rPr>
      </w:pPr>
    </w:p>
    <w:p w:rsidR="00704A92" w:rsidRPr="00A5718B" w:rsidRDefault="00704A92" w:rsidP="009A7ED7">
      <w:pPr>
        <w:ind w:left="360"/>
        <w:rPr>
          <w:b/>
        </w:rPr>
      </w:pPr>
      <w:r>
        <w:rPr>
          <w:b/>
        </w:rPr>
        <w:t>* Conclusie</w:t>
      </w:r>
    </w:p>
    <w:p w:rsidR="00704A92" w:rsidRDefault="00704A92" w:rsidP="009A7ED7">
      <w:pPr>
        <w:ind w:left="360"/>
      </w:pPr>
      <w:r>
        <w:t xml:space="preserve">De G20 vestigde zichzelf als het cruciale go-to forum voor collectief response management. Als een meer uitgebreid project, moet er echter meer werk gedaan worden door alle leden om hun eigen acties te versterken binnen de G20 zodat diepere en meer significante resultaten worden gegenereerd. </w:t>
      </w:r>
    </w:p>
    <w:p w:rsidR="00704A92" w:rsidRDefault="00704A92" w:rsidP="009A7ED7">
      <w:pPr>
        <w:ind w:left="360"/>
        <w:rPr>
          <w:b/>
        </w:rPr>
      </w:pPr>
    </w:p>
    <w:p w:rsidR="00704A92" w:rsidRDefault="00704A92" w:rsidP="009A7ED7">
      <w:pPr>
        <w:ind w:left="360"/>
        <w:rPr>
          <w:b/>
        </w:rPr>
      </w:pPr>
      <w:r>
        <w:rPr>
          <w:b/>
        </w:rPr>
        <w:t>* Samenvatting van aanbevelingen</w:t>
      </w:r>
    </w:p>
    <w:p w:rsidR="00704A92" w:rsidRDefault="00704A92" w:rsidP="009A7ED7">
      <w:pPr>
        <w:pStyle w:val="ListParagraph"/>
        <w:numPr>
          <w:ilvl w:val="0"/>
          <w:numId w:val="36"/>
        </w:numPr>
        <w:spacing w:after="200" w:line="276" w:lineRule="auto"/>
        <w:rPr>
          <w:b/>
        </w:rPr>
      </w:pPr>
      <w:r>
        <w:rPr>
          <w:b/>
        </w:rPr>
        <w:t>Solidify role through swift action</w:t>
      </w:r>
    </w:p>
    <w:p w:rsidR="00704A92" w:rsidRDefault="00704A92" w:rsidP="009A7ED7">
      <w:pPr>
        <w:pStyle w:val="ListParagraph"/>
      </w:pPr>
      <w:r>
        <w:t xml:space="preserve">De G20 blijft een ‘work in progress’, continue verbetering in haar inspanningen tot hervorming is noodzakelijk. Het is de natuurlijke impuls van staten om naar binnen te kijken wanneer zich terugtrekt </w:t>
      </w:r>
      <w:r>
        <w:rPr>
          <w:szCs w:val="20"/>
        </w:rPr>
        <w:sym w:font="Wingdings" w:char="F0E0"/>
      </w:r>
      <w:r>
        <w:t xml:space="preserve"> De centrale rol van de G20 in globale economische governance zou verzwakken als leden hun hervormingsinitiatieven degenereren </w:t>
      </w:r>
      <w:r>
        <w:rPr>
          <w:szCs w:val="20"/>
        </w:rPr>
        <w:sym w:font="Wingdings" w:char="F0E0"/>
      </w:r>
      <w:r>
        <w:t xml:space="preserve"> Snelle actie is vereist.</w:t>
      </w:r>
    </w:p>
    <w:p w:rsidR="00704A92" w:rsidRDefault="00704A92" w:rsidP="009A7ED7">
      <w:pPr>
        <w:pStyle w:val="ListParagraph"/>
      </w:pPr>
    </w:p>
    <w:p w:rsidR="00704A92" w:rsidRPr="00000524" w:rsidRDefault="00704A92" w:rsidP="009A7ED7">
      <w:pPr>
        <w:pStyle w:val="ListParagraph"/>
        <w:numPr>
          <w:ilvl w:val="0"/>
          <w:numId w:val="36"/>
        </w:numPr>
        <w:spacing w:after="200" w:line="276" w:lineRule="auto"/>
      </w:pPr>
      <w:r>
        <w:rPr>
          <w:b/>
        </w:rPr>
        <w:t>Bevordering van rechtvaardige instituties</w:t>
      </w:r>
    </w:p>
    <w:p w:rsidR="00704A92" w:rsidRDefault="00704A92" w:rsidP="009A7ED7">
      <w:pPr>
        <w:pStyle w:val="ListParagraph"/>
      </w:pPr>
      <w:r>
        <w:t xml:space="preserve">De G20 moet zich uitspreken over verbintenissen om het IMF en de Wereldbank te hervormen. Ondanks reactivering, werken internationale financiële instituties nog altijd met verouderde standaarden. </w:t>
      </w:r>
    </w:p>
    <w:p w:rsidR="00704A92" w:rsidRDefault="00704A92" w:rsidP="009A7ED7">
      <w:pPr>
        <w:pStyle w:val="ListParagraph"/>
      </w:pPr>
      <w:r>
        <w:t xml:space="preserve">Quota herziening in 2011: G20 wil het meerderheidsbeslissingsysteem en stemrollen verhogen voor de grote economieën van het Zuiden. </w:t>
      </w:r>
    </w:p>
    <w:p w:rsidR="00704A92" w:rsidRDefault="00704A92" w:rsidP="009A7ED7">
      <w:pPr>
        <w:pStyle w:val="ListParagraph"/>
      </w:pPr>
      <w:r>
        <w:t>G20 moet ook manieren vinden om te werken met de VN omtrent een breder socio-economische agenda.</w:t>
      </w:r>
    </w:p>
    <w:p w:rsidR="00704A92" w:rsidRDefault="00704A92" w:rsidP="009A7ED7">
      <w:pPr>
        <w:pStyle w:val="ListParagraph"/>
      </w:pPr>
    </w:p>
    <w:p w:rsidR="00704A92" w:rsidRPr="00F30B6D" w:rsidRDefault="00704A92" w:rsidP="009A7ED7">
      <w:pPr>
        <w:pStyle w:val="ListParagraph"/>
        <w:numPr>
          <w:ilvl w:val="0"/>
          <w:numId w:val="36"/>
        </w:numPr>
        <w:spacing w:after="200" w:line="276" w:lineRule="auto"/>
      </w:pPr>
      <w:r>
        <w:rPr>
          <w:b/>
        </w:rPr>
        <w:t>Vermijden van interne breuken</w:t>
      </w:r>
    </w:p>
    <w:p w:rsidR="00704A92" w:rsidRDefault="00704A92" w:rsidP="009A7ED7">
      <w:pPr>
        <w:pStyle w:val="ListParagraph"/>
      </w:pPr>
      <w:r>
        <w:t xml:space="preserve">De G20 werd opgericht met het oog op samenwerking, ondanks collectieve bedreigingen </w:t>
      </w:r>
      <w:r>
        <w:rPr>
          <w:szCs w:val="20"/>
        </w:rPr>
        <w:sym w:font="Wingdings" w:char="F0E0"/>
      </w:r>
      <w:r>
        <w:t xml:space="preserve"> De opkomst van interne breuken – zoals het kiesstelsel van G7/8 – loopt tegen dit principe. </w:t>
      </w:r>
    </w:p>
    <w:p w:rsidR="00704A92" w:rsidRDefault="00704A92" w:rsidP="009A7ED7">
      <w:pPr>
        <w:pStyle w:val="ListParagraph"/>
      </w:pPr>
      <w:r>
        <w:t>Sterkte van G20: sterkte in diversiteit + coalities van consensus afhankelijk van de kwestie zelf, ipv het consistent aanhangen aan posities per blok of regio’s.</w:t>
      </w:r>
    </w:p>
    <w:p w:rsidR="00704A92" w:rsidRDefault="00704A92" w:rsidP="009A7ED7">
      <w:pPr>
        <w:pStyle w:val="ListParagraph"/>
      </w:pPr>
    </w:p>
    <w:p w:rsidR="00704A92" w:rsidRPr="005D7C98" w:rsidRDefault="00704A92" w:rsidP="009A7ED7">
      <w:pPr>
        <w:pStyle w:val="ListParagraph"/>
        <w:numPr>
          <w:ilvl w:val="0"/>
          <w:numId w:val="36"/>
        </w:numPr>
        <w:spacing w:after="200" w:line="276" w:lineRule="auto"/>
      </w:pPr>
      <w:r>
        <w:rPr>
          <w:b/>
        </w:rPr>
        <w:t>Het aanmoedigen van overleg met niet-leden</w:t>
      </w:r>
    </w:p>
    <w:p w:rsidR="00704A92" w:rsidRDefault="00704A92" w:rsidP="009A7ED7">
      <w:pPr>
        <w:pStyle w:val="ListParagraph"/>
      </w:pPr>
      <w:r>
        <w:t xml:space="preserve">Wereldleiders steunden op de G20 van bij het begin van de economische crisis, omdat de groep groot genoeg is om representatief te zijn, maar tegelijkertijd ook klein genoeg om effectief te zijn. </w:t>
      </w:r>
    </w:p>
    <w:p w:rsidR="00704A92" w:rsidRDefault="00704A92" w:rsidP="009A7ED7">
      <w:pPr>
        <w:pStyle w:val="ListParagraph"/>
      </w:pPr>
      <w:r>
        <w:t xml:space="preserve">Leden moeten aangespoord worden om regionale groepen en andere stakeholders te raadplegen. </w:t>
      </w:r>
    </w:p>
    <w:p w:rsidR="00704A92" w:rsidRDefault="00704A92" w:rsidP="009A7ED7">
      <w:pPr>
        <w:pStyle w:val="ListParagraph"/>
      </w:pPr>
    </w:p>
    <w:p w:rsidR="00704A92" w:rsidRDefault="00704A92" w:rsidP="009A7ED7">
      <w:pPr>
        <w:pStyle w:val="ListParagraph"/>
        <w:rPr>
          <w:b/>
        </w:rPr>
      </w:pPr>
      <w:r>
        <w:rPr>
          <w:b/>
        </w:rPr>
        <w:t>* Naar een post-crisis economische orde</w:t>
      </w:r>
    </w:p>
    <w:p w:rsidR="00704A92" w:rsidRPr="00814216" w:rsidRDefault="00704A92" w:rsidP="009A7ED7">
      <w:pPr>
        <w:pStyle w:val="ListParagraph"/>
        <w:rPr>
          <w:b/>
        </w:rPr>
      </w:pPr>
      <w:r>
        <w:t xml:space="preserve">‘Messy multilateralisme’: niet enkel te wijten aan meer binnenlandse politieke problemen maar door de associatie van identiteiten en belangen die landen hebben met andere internationale forums, naast de G20. Deze beperkingen geven geen aanleiding tot afvalligheid maar tot grensoverschrijdend gedrag. </w:t>
      </w:r>
    </w:p>
    <w:p w:rsidR="00704A92" w:rsidRDefault="00704A92" w:rsidP="00A360B7">
      <w:pPr>
        <w:ind w:left="45"/>
        <w:rPr>
          <w:sz w:val="24"/>
          <w:szCs w:val="24"/>
        </w:rPr>
      </w:pPr>
    </w:p>
    <w:p w:rsidR="00704A92" w:rsidRDefault="00704A92" w:rsidP="00555C02">
      <w:pPr>
        <w:ind w:left="45"/>
        <w:rPr>
          <w:sz w:val="24"/>
          <w:szCs w:val="24"/>
        </w:rPr>
      </w:pPr>
    </w:p>
    <w:p w:rsidR="00704A92" w:rsidRDefault="00704A92" w:rsidP="00555C02">
      <w:pPr>
        <w:ind w:left="45"/>
        <w:rPr>
          <w:sz w:val="24"/>
          <w:szCs w:val="24"/>
        </w:rPr>
      </w:pPr>
    </w:p>
    <w:p w:rsidR="00704A92" w:rsidRPr="00555C02" w:rsidRDefault="00704A92" w:rsidP="00555C02">
      <w:pPr>
        <w:ind w:left="45"/>
        <w:rPr>
          <w:sz w:val="24"/>
          <w:szCs w:val="24"/>
        </w:rPr>
      </w:pPr>
    </w:p>
    <w:p w:rsidR="00704A92" w:rsidRDefault="00704A92" w:rsidP="00376D89">
      <w:pPr>
        <w:pStyle w:val="Heading1"/>
      </w:pPr>
      <w:r>
        <w:br w:type="page"/>
      </w:r>
      <w:bookmarkStart w:id="11" w:name="_Toc296090841"/>
      <w:r>
        <w:t>H20: De toekomst van het G20 proces</w:t>
      </w:r>
      <w:bookmarkEnd w:id="11"/>
    </w:p>
    <w:p w:rsidR="00704A92" w:rsidRDefault="00704A92" w:rsidP="00376D89"/>
    <w:p w:rsidR="00704A92" w:rsidRDefault="00704A92" w:rsidP="00376D89">
      <w:pPr>
        <w:rPr>
          <w:b/>
          <w:u w:val="single"/>
        </w:rPr>
      </w:pPr>
      <w:r>
        <w:rPr>
          <w:b/>
          <w:u w:val="single"/>
        </w:rPr>
        <w:t>Kernpunten:</w:t>
      </w:r>
    </w:p>
    <w:p w:rsidR="00704A92" w:rsidRDefault="00704A92" w:rsidP="00376D89">
      <w:pPr>
        <w:pStyle w:val="ListParagraph"/>
        <w:numPr>
          <w:ilvl w:val="0"/>
          <w:numId w:val="4"/>
        </w:numPr>
      </w:pPr>
      <w:r>
        <w:t>Om effectief te zijn en als wettelijk gezien te worden, moet de G20 zijn lidmaatschap, zetelsysteem en voorbereidende processen institutionaliseren.</w:t>
      </w:r>
    </w:p>
    <w:p w:rsidR="00704A92" w:rsidRDefault="00704A92" w:rsidP="00376D89">
      <w:pPr>
        <w:pStyle w:val="ListParagraph"/>
        <w:numPr>
          <w:ilvl w:val="0"/>
          <w:numId w:val="4"/>
        </w:numPr>
      </w:pPr>
      <w:r>
        <w:t>Een professioneel secretariaat is nodig om de toewijding van leiders op te volgen en te monitoren en om een institutioneel geheugen te voorzien.</w:t>
      </w:r>
    </w:p>
    <w:p w:rsidR="00704A92" w:rsidRDefault="00704A92" w:rsidP="00376D89">
      <w:pPr>
        <w:pStyle w:val="ListParagraph"/>
        <w:numPr>
          <w:ilvl w:val="0"/>
          <w:numId w:val="4"/>
        </w:numPr>
      </w:pPr>
      <w:r>
        <w:t>Het naar buiten reiken en consulteren moet de bezorgdheden van armere ontwikkelingslanden ook in rekening brengen.</w:t>
      </w:r>
    </w:p>
    <w:p w:rsidR="00704A92" w:rsidRDefault="00704A92" w:rsidP="00376D89"/>
    <w:p w:rsidR="00704A92" w:rsidRDefault="00704A92" w:rsidP="00376D89">
      <w:r>
        <w:t>Dankzij de financiële crisis zijn vele G20 landen in conflict met elkaar. Toch heeft de G20 veel vooruitgang geboekt op verschillende gebieden, o.a. IMF hervorming, en lanceerde werk op andere gebieden zoals ontwikkeling.</w:t>
      </w:r>
    </w:p>
    <w:p w:rsidR="00704A92" w:rsidRDefault="00704A92" w:rsidP="00376D89"/>
    <w:p w:rsidR="00704A92" w:rsidRDefault="00704A92" w:rsidP="00376D89">
      <w:r>
        <w:t>Nu dat de financiële crisis minder dringend wordt, keren de financiële ministers van de G20 terug naar hun vorige rollen en de leiders keren terug naar een meer uitgebreide agenda, waar ontwikkelings- en handelsproblemen, globale overheidsinstituties, veiligheid en klimaatverandering deel van uitmaken. Korea en Frankrijk zullen een kritische rol spelen in het vestigen van legitimiteit en effectiviteit van de G20, aangezien zij als gastlanden zullen dien voor de meetings en hiervan ook voorzitter zijn.</w:t>
      </w:r>
    </w:p>
    <w:p w:rsidR="00704A92" w:rsidRDefault="00704A92" w:rsidP="00376D89"/>
    <w:p w:rsidR="00704A92" w:rsidRDefault="00704A92" w:rsidP="00376D89">
      <w:r>
        <w:t>De institutionalisering zal verschillende dimensies kennen- lidmaatschap,zetelschap en de voorbereidende processen- inclusief de vraag naar een secretariaat en de normen voor het naar buiten reiken en consultatie.</w:t>
      </w:r>
    </w:p>
    <w:p w:rsidR="00704A92" w:rsidRDefault="00704A92" w:rsidP="00376D89"/>
    <w:p w:rsidR="00704A92" w:rsidRDefault="00704A92" w:rsidP="00376D89">
      <w:r>
        <w:t xml:space="preserve">De discussies over de verdeling van de zetels lijkt echter gesetteld te zijn. Deze oplossing is er gekomen onder Koreaans leiderschap en zegt dat elke topgast 5 gasten mag uitnodigen. Deze beslissing moet gemaakt worden met consensus van alle leden. </w:t>
      </w:r>
      <w:r w:rsidRPr="00DF01B3">
        <w:t>Korea nodigt uit: Ethiopië</w:t>
      </w:r>
      <w:r>
        <w:t>(vertegenwoordigd</w:t>
      </w:r>
      <w:r w:rsidRPr="00DF01B3">
        <w:t xml:space="preserve"> the New Partnership for Africa’s development), Malawi( vertegenwoordigd de Afrikaanse Unie), Vietnam</w:t>
      </w:r>
      <w:r>
        <w:t xml:space="preserve"> ( vertegenwoordigd de Association of Southeast Asian Nations)</w:t>
      </w:r>
      <w:r w:rsidRPr="00DF01B3">
        <w:t>, Spanje en Singapore</w:t>
      </w:r>
      <w:r>
        <w:t xml:space="preserve">. </w:t>
      </w:r>
      <w:r w:rsidRPr="003805AB">
        <w:rPr>
          <w:lang w:val="en-US"/>
        </w:rPr>
        <w:t xml:space="preserve">Leiders van 7 internationale organisaties (o.a. VN, ILO, WTO,IMF, Wereldbank, the Financial Stability board, Organisation for Economic Co-operation and Development) zijn uitgenodigd. </w:t>
      </w:r>
      <w:r>
        <w:t>Dit z</w:t>
      </w:r>
      <w:r w:rsidRPr="003805AB">
        <w:t>al de node</w:t>
      </w:r>
      <w:r>
        <w:t>n</w:t>
      </w:r>
      <w:r w:rsidRPr="003805AB">
        <w:t xml:space="preserve"> van niet-vertegenwoordigde landen helpen uitdrukken en een meer regiona</w:t>
      </w:r>
      <w:r>
        <w:t>a</w:t>
      </w:r>
      <w:r w:rsidRPr="003805AB">
        <w:t>l gebalanceerd</w:t>
      </w:r>
      <w:r>
        <w:t xml:space="preserve"> vertegenwoordiging voorzien. Frankrijk zal in 2011 en Mexico in 2012 de 5 additionele gasten moeten kiezen.</w:t>
      </w:r>
    </w:p>
    <w:p w:rsidR="00704A92" w:rsidRDefault="00704A92" w:rsidP="00376D89"/>
    <w:p w:rsidR="00704A92" w:rsidRDefault="00704A92" w:rsidP="00376D89">
      <w:r>
        <w:t>Voor het voorzitterschap zal hoogstwaarschijnlijk het troika ‘bucket system’ geadopteerd worden, wat zorgt voor een rotatie tussen de groepen. (Voor een verdeling van de groepen zie p2)</w:t>
      </w:r>
    </w:p>
    <w:p w:rsidR="00704A92" w:rsidRDefault="00704A92" w:rsidP="00376D89"/>
    <w:p w:rsidR="00704A92" w:rsidRDefault="00704A92" w:rsidP="00376D89">
      <w:r>
        <w:t>Er is een duidelijke nood aan een professioneel secretariaat(zie kernpunt 2 en 3) Bureaucratie en het verlies van controle van leiders moet vermeden worden om geen verlies van de toewijding van leiders te doen ontstaan. Ook Sarkozy vermeldde al de nood aan een secretariaat. Il Sakong, de senior Koreaanse verantwoordelijke voor de Seoul top, zei recent dat de meeting in november de grondslag zal leggen voor de institutionalisering van het G20 forum, inclusief de vestiging van zijn secretariaat. 1 optie is een conventioneel secretariaat van ongeveer 20, wat kan gevestigd worden in Seoul, Toronto, Parijs of Peking.</w:t>
      </w:r>
    </w:p>
    <w:p w:rsidR="00704A92" w:rsidRDefault="00704A92" w:rsidP="00376D89"/>
    <w:p w:rsidR="00704A92" w:rsidRDefault="00704A92" w:rsidP="00376D89">
      <w:r>
        <w:t>Een onconventionele aanpak zou Sherpa’s van de troika landen(FR,Korea, Mexico in 2011) dienst laten doen als cosecretaris-generaal om directe verantwoording naar de gastlanden te verzekeren, om zo het gevaar van onafhankelijke bureaucraten die het proces verstrikken te vermijden. Personeel zou verkregen kunnen worden door te detacheren van troika landen voor 3 jaar(vb Mexico 2011,2012,2013; Korea 2011,2012)</w:t>
      </w:r>
    </w:p>
    <w:p w:rsidR="00704A92" w:rsidRDefault="00704A92" w:rsidP="00376D89"/>
    <w:p w:rsidR="00704A92" w:rsidRDefault="00704A92" w:rsidP="00376D89">
      <w:r>
        <w:t>Kernpunt 3: Korea is in een goede positie om de bezorgdheden van ontwikkelingslanden op de agenda te plaatsen. Ze toonde reeds sensitiviteit door de nadruk te leggen op het financiële veiligheidsnet probleem om beginnende markten veilig te houden van systematische onstabiliteit en op acties die focussen op het sluiten van de ontwikkelingskloof. Samen met de FSB organiseerde ze ook een financiële hervormingsconferentie om visies van ontwikkelingslanden te ontlokken. Korea heeft ook een G20 businesstop en de Civil G20(non-gouvernementele organisaties) geïnstitutionaliseerd . Korea heeft ook het 3G voorstel geaccepteerd(Global Governance Group) om de VN secretaris-generaal uit te nodigen op de Korea-Afrikaanse top waar ook 45 afgevaardigde ministers uitgenodigd waren. Ook Sarkozy zal zijn beleidsadviseur naar de G172 samenkomst sturen na de Seoul top. Toekomstige gastlanden zullen zicht blijven inzetten voor deze naar buiten reikende activiteiten.</w:t>
      </w:r>
    </w:p>
    <w:p w:rsidR="00704A92" w:rsidRDefault="00704A92" w:rsidP="00376D89"/>
    <w:p w:rsidR="00704A92" w:rsidRDefault="00704A92" w:rsidP="00376D89">
      <w:r>
        <w:t>De effectiviteit en de legitimiteit zal afhangen van zijn proces, iets wat veel duidelijker zal zijn na de Seoul-top.</w:t>
      </w:r>
    </w:p>
    <w:p w:rsidR="00704A92" w:rsidRPr="003805AB" w:rsidRDefault="00704A92" w:rsidP="00376D89"/>
    <w:sectPr w:rsidR="00704A92" w:rsidRPr="003805AB" w:rsidSect="00E8398A">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A92" w:rsidRDefault="00704A92">
      <w:r>
        <w:separator/>
      </w:r>
    </w:p>
  </w:endnote>
  <w:endnote w:type="continuationSeparator" w:id="0">
    <w:p w:rsidR="00704A92" w:rsidRDefault="00704A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92" w:rsidRDefault="00704A92" w:rsidP="00E13F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4A92" w:rsidRDefault="00704A92" w:rsidP="00803EA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92" w:rsidRDefault="00704A92" w:rsidP="00E13F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A92" w:rsidRDefault="00704A92" w:rsidP="00803EA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A92" w:rsidRDefault="00704A92">
      <w:r>
        <w:separator/>
      </w:r>
    </w:p>
  </w:footnote>
  <w:footnote w:type="continuationSeparator" w:id="0">
    <w:p w:rsidR="00704A92" w:rsidRDefault="00704A92">
      <w:r>
        <w:continuationSeparator/>
      </w:r>
    </w:p>
  </w:footnote>
  <w:footnote w:id="1">
    <w:p w:rsidR="00704A92" w:rsidRDefault="00704A92" w:rsidP="009A7ED7">
      <w:pPr>
        <w:pStyle w:val="FootnoteText"/>
      </w:pPr>
      <w:r>
        <w:rPr>
          <w:rStyle w:val="FootnoteReference"/>
        </w:rPr>
        <w:footnoteRef/>
      </w:r>
      <w:r>
        <w:t xml:space="preserve"> Momentum is een periode waarin stijgende en dalende bewegingen duidelijk worden waargenomen.</w:t>
      </w:r>
    </w:p>
  </w:footnote>
  <w:footnote w:id="2">
    <w:p w:rsidR="00704A92" w:rsidRDefault="00704A92" w:rsidP="009A7ED7">
      <w:pPr>
        <w:pStyle w:val="FootnoteText"/>
      </w:pPr>
      <w:r>
        <w:rPr>
          <w:rStyle w:val="FootnoteReference"/>
        </w:rPr>
        <w:footnoteRef/>
      </w:r>
      <w:r>
        <w:t xml:space="preserve"> De Pittsburgh summit in 2009 was de derde bijeenkomst van staatshoofden om te discussiëren over financiële markten en de wereldeconomie.</w:t>
      </w:r>
    </w:p>
  </w:footnote>
  <w:footnote w:id="3">
    <w:p w:rsidR="00704A92" w:rsidRDefault="00704A92" w:rsidP="009A7ED7">
      <w:pPr>
        <w:pStyle w:val="FootnoteText"/>
      </w:pPr>
      <w:r>
        <w:rPr>
          <w:rStyle w:val="FootnoteReference"/>
        </w:rPr>
        <w:footnoteRef/>
      </w:r>
      <w:r>
        <w:t xml:space="preserve"> Stroming die de waarheid ziet in haar praktische toepasselijkheid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C8281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1A0ECE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ACA52E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BC87D6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9521B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22618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B9E51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56D5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9CFA5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04A8A36"/>
    <w:lvl w:ilvl="0">
      <w:start w:val="1"/>
      <w:numFmt w:val="bullet"/>
      <w:lvlText w:val=""/>
      <w:lvlJc w:val="left"/>
      <w:pPr>
        <w:tabs>
          <w:tab w:val="num" w:pos="360"/>
        </w:tabs>
        <w:ind w:left="360" w:hanging="360"/>
      </w:pPr>
      <w:rPr>
        <w:rFonts w:ascii="Symbol" w:hAnsi="Symbol" w:hint="default"/>
      </w:rPr>
    </w:lvl>
  </w:abstractNum>
  <w:abstractNum w:abstractNumId="10">
    <w:nsid w:val="1CE52A80"/>
    <w:multiLevelType w:val="hybridMultilevel"/>
    <w:tmpl w:val="9FD0610A"/>
    <w:lvl w:ilvl="0" w:tplc="04130011">
      <w:start w:val="1"/>
      <w:numFmt w:val="decimal"/>
      <w:lvlText w:val="%1)"/>
      <w:lvlJc w:val="left"/>
      <w:pPr>
        <w:ind w:left="720" w:hanging="360"/>
      </w:pPr>
      <w:rPr>
        <w:rFonts w:cs="Times New Roman" w:hint="default"/>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1">
    <w:nsid w:val="1D6905E5"/>
    <w:multiLevelType w:val="hybridMultilevel"/>
    <w:tmpl w:val="ACFA6DAC"/>
    <w:lvl w:ilvl="0" w:tplc="0813000F">
      <w:start w:val="1"/>
      <w:numFmt w:val="decimal"/>
      <w:lvlText w:val="%1."/>
      <w:lvlJc w:val="left"/>
      <w:pPr>
        <w:ind w:left="2160" w:hanging="360"/>
      </w:pPr>
      <w:rPr>
        <w:rFonts w:cs="Times New Roman"/>
      </w:rPr>
    </w:lvl>
    <w:lvl w:ilvl="1" w:tplc="08130019" w:tentative="1">
      <w:start w:val="1"/>
      <w:numFmt w:val="lowerLetter"/>
      <w:lvlText w:val="%2."/>
      <w:lvlJc w:val="left"/>
      <w:pPr>
        <w:ind w:left="2880" w:hanging="360"/>
      </w:pPr>
      <w:rPr>
        <w:rFonts w:cs="Times New Roman"/>
      </w:rPr>
    </w:lvl>
    <w:lvl w:ilvl="2" w:tplc="0813001B" w:tentative="1">
      <w:start w:val="1"/>
      <w:numFmt w:val="lowerRoman"/>
      <w:lvlText w:val="%3."/>
      <w:lvlJc w:val="right"/>
      <w:pPr>
        <w:ind w:left="3600" w:hanging="180"/>
      </w:pPr>
      <w:rPr>
        <w:rFonts w:cs="Times New Roman"/>
      </w:rPr>
    </w:lvl>
    <w:lvl w:ilvl="3" w:tplc="0813000F" w:tentative="1">
      <w:start w:val="1"/>
      <w:numFmt w:val="decimal"/>
      <w:lvlText w:val="%4."/>
      <w:lvlJc w:val="left"/>
      <w:pPr>
        <w:ind w:left="4320" w:hanging="360"/>
      </w:pPr>
      <w:rPr>
        <w:rFonts w:cs="Times New Roman"/>
      </w:rPr>
    </w:lvl>
    <w:lvl w:ilvl="4" w:tplc="08130019" w:tentative="1">
      <w:start w:val="1"/>
      <w:numFmt w:val="lowerLetter"/>
      <w:lvlText w:val="%5."/>
      <w:lvlJc w:val="left"/>
      <w:pPr>
        <w:ind w:left="5040" w:hanging="360"/>
      </w:pPr>
      <w:rPr>
        <w:rFonts w:cs="Times New Roman"/>
      </w:rPr>
    </w:lvl>
    <w:lvl w:ilvl="5" w:tplc="0813001B" w:tentative="1">
      <w:start w:val="1"/>
      <w:numFmt w:val="lowerRoman"/>
      <w:lvlText w:val="%6."/>
      <w:lvlJc w:val="right"/>
      <w:pPr>
        <w:ind w:left="5760" w:hanging="180"/>
      </w:pPr>
      <w:rPr>
        <w:rFonts w:cs="Times New Roman"/>
      </w:rPr>
    </w:lvl>
    <w:lvl w:ilvl="6" w:tplc="0813000F" w:tentative="1">
      <w:start w:val="1"/>
      <w:numFmt w:val="decimal"/>
      <w:lvlText w:val="%7."/>
      <w:lvlJc w:val="left"/>
      <w:pPr>
        <w:ind w:left="6480" w:hanging="360"/>
      </w:pPr>
      <w:rPr>
        <w:rFonts w:cs="Times New Roman"/>
      </w:rPr>
    </w:lvl>
    <w:lvl w:ilvl="7" w:tplc="08130019" w:tentative="1">
      <w:start w:val="1"/>
      <w:numFmt w:val="lowerLetter"/>
      <w:lvlText w:val="%8."/>
      <w:lvlJc w:val="left"/>
      <w:pPr>
        <w:ind w:left="7200" w:hanging="360"/>
      </w:pPr>
      <w:rPr>
        <w:rFonts w:cs="Times New Roman"/>
      </w:rPr>
    </w:lvl>
    <w:lvl w:ilvl="8" w:tplc="0813001B" w:tentative="1">
      <w:start w:val="1"/>
      <w:numFmt w:val="lowerRoman"/>
      <w:lvlText w:val="%9."/>
      <w:lvlJc w:val="right"/>
      <w:pPr>
        <w:ind w:left="7920" w:hanging="180"/>
      </w:pPr>
      <w:rPr>
        <w:rFonts w:cs="Times New Roman"/>
      </w:rPr>
    </w:lvl>
  </w:abstractNum>
  <w:abstractNum w:abstractNumId="12">
    <w:nsid w:val="230A69A2"/>
    <w:multiLevelType w:val="hybridMultilevel"/>
    <w:tmpl w:val="751ABFF8"/>
    <w:lvl w:ilvl="0" w:tplc="04130017">
      <w:start w:val="1"/>
      <w:numFmt w:val="lowerLetter"/>
      <w:lvlText w:val="%1)"/>
      <w:lvlJc w:val="left"/>
      <w:pPr>
        <w:ind w:left="720" w:hanging="360"/>
      </w:pPr>
      <w:rPr>
        <w:rFonts w:cs="Times New Roman"/>
      </w:rPr>
    </w:lvl>
    <w:lvl w:ilvl="1" w:tplc="04130019" w:tentative="1">
      <w:start w:val="1"/>
      <w:numFmt w:val="lowerLetter"/>
      <w:lvlText w:val="%2."/>
      <w:lvlJc w:val="left"/>
      <w:pPr>
        <w:ind w:left="1440" w:hanging="360"/>
      </w:pPr>
      <w:rPr>
        <w:rFonts w:cs="Times New Roman"/>
      </w:rPr>
    </w:lvl>
    <w:lvl w:ilvl="2" w:tplc="0413001B" w:tentative="1">
      <w:start w:val="1"/>
      <w:numFmt w:val="lowerRoman"/>
      <w:lvlText w:val="%3."/>
      <w:lvlJc w:val="right"/>
      <w:pPr>
        <w:ind w:left="2160" w:hanging="180"/>
      </w:pPr>
      <w:rPr>
        <w:rFonts w:cs="Times New Roman"/>
      </w:rPr>
    </w:lvl>
    <w:lvl w:ilvl="3" w:tplc="0413000F" w:tentative="1">
      <w:start w:val="1"/>
      <w:numFmt w:val="decimal"/>
      <w:lvlText w:val="%4."/>
      <w:lvlJc w:val="left"/>
      <w:pPr>
        <w:ind w:left="2880" w:hanging="360"/>
      </w:pPr>
      <w:rPr>
        <w:rFonts w:cs="Times New Roman"/>
      </w:rPr>
    </w:lvl>
    <w:lvl w:ilvl="4" w:tplc="04130019" w:tentative="1">
      <w:start w:val="1"/>
      <w:numFmt w:val="lowerLetter"/>
      <w:lvlText w:val="%5."/>
      <w:lvlJc w:val="left"/>
      <w:pPr>
        <w:ind w:left="3600" w:hanging="360"/>
      </w:pPr>
      <w:rPr>
        <w:rFonts w:cs="Times New Roman"/>
      </w:rPr>
    </w:lvl>
    <w:lvl w:ilvl="5" w:tplc="0413001B" w:tentative="1">
      <w:start w:val="1"/>
      <w:numFmt w:val="lowerRoman"/>
      <w:lvlText w:val="%6."/>
      <w:lvlJc w:val="right"/>
      <w:pPr>
        <w:ind w:left="4320" w:hanging="180"/>
      </w:pPr>
      <w:rPr>
        <w:rFonts w:cs="Times New Roman"/>
      </w:rPr>
    </w:lvl>
    <w:lvl w:ilvl="6" w:tplc="0413000F" w:tentative="1">
      <w:start w:val="1"/>
      <w:numFmt w:val="decimal"/>
      <w:lvlText w:val="%7."/>
      <w:lvlJc w:val="left"/>
      <w:pPr>
        <w:ind w:left="5040" w:hanging="360"/>
      </w:pPr>
      <w:rPr>
        <w:rFonts w:cs="Times New Roman"/>
      </w:rPr>
    </w:lvl>
    <w:lvl w:ilvl="7" w:tplc="04130019" w:tentative="1">
      <w:start w:val="1"/>
      <w:numFmt w:val="lowerLetter"/>
      <w:lvlText w:val="%8."/>
      <w:lvlJc w:val="left"/>
      <w:pPr>
        <w:ind w:left="5760" w:hanging="360"/>
      </w:pPr>
      <w:rPr>
        <w:rFonts w:cs="Times New Roman"/>
      </w:rPr>
    </w:lvl>
    <w:lvl w:ilvl="8" w:tplc="0413001B" w:tentative="1">
      <w:start w:val="1"/>
      <w:numFmt w:val="lowerRoman"/>
      <w:lvlText w:val="%9."/>
      <w:lvlJc w:val="right"/>
      <w:pPr>
        <w:ind w:left="6480" w:hanging="180"/>
      </w:pPr>
      <w:rPr>
        <w:rFonts w:cs="Times New Roman"/>
      </w:rPr>
    </w:lvl>
  </w:abstractNum>
  <w:abstractNum w:abstractNumId="13">
    <w:nsid w:val="242C77BC"/>
    <w:multiLevelType w:val="hybridMultilevel"/>
    <w:tmpl w:val="91B2F5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27146479"/>
    <w:multiLevelType w:val="hybridMultilevel"/>
    <w:tmpl w:val="A15E1C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nsid w:val="2E68011C"/>
    <w:multiLevelType w:val="hybridMultilevel"/>
    <w:tmpl w:val="F6FA8FDE"/>
    <w:lvl w:ilvl="0" w:tplc="8F1A5A62">
      <w:start w:val="1"/>
      <w:numFmt w:val="decimal"/>
      <w:lvlText w:val="%1)"/>
      <w:lvlJc w:val="left"/>
      <w:pPr>
        <w:ind w:left="405" w:hanging="360"/>
      </w:pPr>
      <w:rPr>
        <w:rFonts w:cs="Times New Roman" w:hint="default"/>
      </w:rPr>
    </w:lvl>
    <w:lvl w:ilvl="1" w:tplc="04130019" w:tentative="1">
      <w:start w:val="1"/>
      <w:numFmt w:val="lowerLetter"/>
      <w:lvlText w:val="%2."/>
      <w:lvlJc w:val="left"/>
      <w:pPr>
        <w:ind w:left="1125" w:hanging="360"/>
      </w:pPr>
      <w:rPr>
        <w:rFonts w:cs="Times New Roman"/>
      </w:rPr>
    </w:lvl>
    <w:lvl w:ilvl="2" w:tplc="0413001B" w:tentative="1">
      <w:start w:val="1"/>
      <w:numFmt w:val="lowerRoman"/>
      <w:lvlText w:val="%3."/>
      <w:lvlJc w:val="right"/>
      <w:pPr>
        <w:ind w:left="1845" w:hanging="180"/>
      </w:pPr>
      <w:rPr>
        <w:rFonts w:cs="Times New Roman"/>
      </w:rPr>
    </w:lvl>
    <w:lvl w:ilvl="3" w:tplc="0413000F" w:tentative="1">
      <w:start w:val="1"/>
      <w:numFmt w:val="decimal"/>
      <w:lvlText w:val="%4."/>
      <w:lvlJc w:val="left"/>
      <w:pPr>
        <w:ind w:left="2565" w:hanging="360"/>
      </w:pPr>
      <w:rPr>
        <w:rFonts w:cs="Times New Roman"/>
      </w:rPr>
    </w:lvl>
    <w:lvl w:ilvl="4" w:tplc="04130019" w:tentative="1">
      <w:start w:val="1"/>
      <w:numFmt w:val="lowerLetter"/>
      <w:lvlText w:val="%5."/>
      <w:lvlJc w:val="left"/>
      <w:pPr>
        <w:ind w:left="3285" w:hanging="360"/>
      </w:pPr>
      <w:rPr>
        <w:rFonts w:cs="Times New Roman"/>
      </w:rPr>
    </w:lvl>
    <w:lvl w:ilvl="5" w:tplc="0413001B" w:tentative="1">
      <w:start w:val="1"/>
      <w:numFmt w:val="lowerRoman"/>
      <w:lvlText w:val="%6."/>
      <w:lvlJc w:val="right"/>
      <w:pPr>
        <w:ind w:left="4005" w:hanging="180"/>
      </w:pPr>
      <w:rPr>
        <w:rFonts w:cs="Times New Roman"/>
      </w:rPr>
    </w:lvl>
    <w:lvl w:ilvl="6" w:tplc="0413000F" w:tentative="1">
      <w:start w:val="1"/>
      <w:numFmt w:val="decimal"/>
      <w:lvlText w:val="%7."/>
      <w:lvlJc w:val="left"/>
      <w:pPr>
        <w:ind w:left="4725" w:hanging="360"/>
      </w:pPr>
      <w:rPr>
        <w:rFonts w:cs="Times New Roman"/>
      </w:rPr>
    </w:lvl>
    <w:lvl w:ilvl="7" w:tplc="04130019" w:tentative="1">
      <w:start w:val="1"/>
      <w:numFmt w:val="lowerLetter"/>
      <w:lvlText w:val="%8."/>
      <w:lvlJc w:val="left"/>
      <w:pPr>
        <w:ind w:left="5445" w:hanging="360"/>
      </w:pPr>
      <w:rPr>
        <w:rFonts w:cs="Times New Roman"/>
      </w:rPr>
    </w:lvl>
    <w:lvl w:ilvl="8" w:tplc="0413001B" w:tentative="1">
      <w:start w:val="1"/>
      <w:numFmt w:val="lowerRoman"/>
      <w:lvlText w:val="%9."/>
      <w:lvlJc w:val="right"/>
      <w:pPr>
        <w:ind w:left="6165" w:hanging="180"/>
      </w:pPr>
      <w:rPr>
        <w:rFonts w:cs="Times New Roman"/>
      </w:rPr>
    </w:lvl>
  </w:abstractNum>
  <w:abstractNum w:abstractNumId="16">
    <w:nsid w:val="324E20E1"/>
    <w:multiLevelType w:val="hybridMultilevel"/>
    <w:tmpl w:val="F8AEC560"/>
    <w:lvl w:ilvl="0" w:tplc="08130003">
      <w:start w:val="1"/>
      <w:numFmt w:val="bullet"/>
      <w:lvlText w:val="o"/>
      <w:lvlJc w:val="left"/>
      <w:pPr>
        <w:ind w:left="1428" w:hanging="360"/>
      </w:pPr>
      <w:rPr>
        <w:rFonts w:ascii="Courier New" w:hAnsi="Courier New" w:hint="default"/>
      </w:rPr>
    </w:lvl>
    <w:lvl w:ilvl="1" w:tplc="08130003" w:tentative="1">
      <w:start w:val="1"/>
      <w:numFmt w:val="bullet"/>
      <w:lvlText w:val="o"/>
      <w:lvlJc w:val="left"/>
      <w:pPr>
        <w:ind w:left="2148" w:hanging="360"/>
      </w:pPr>
      <w:rPr>
        <w:rFonts w:ascii="Courier New" w:hAnsi="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7">
    <w:nsid w:val="3852566D"/>
    <w:multiLevelType w:val="hybridMultilevel"/>
    <w:tmpl w:val="C9B249F6"/>
    <w:lvl w:ilvl="0" w:tplc="0813000F">
      <w:start w:val="1"/>
      <w:numFmt w:val="decimal"/>
      <w:lvlText w:val="%1."/>
      <w:lvlJc w:val="left"/>
      <w:pPr>
        <w:ind w:left="2148" w:hanging="360"/>
      </w:pPr>
      <w:rPr>
        <w:rFonts w:cs="Times New Roman"/>
      </w:rPr>
    </w:lvl>
    <w:lvl w:ilvl="1" w:tplc="08130019" w:tentative="1">
      <w:start w:val="1"/>
      <w:numFmt w:val="lowerLetter"/>
      <w:lvlText w:val="%2."/>
      <w:lvlJc w:val="left"/>
      <w:pPr>
        <w:ind w:left="2868" w:hanging="360"/>
      </w:pPr>
      <w:rPr>
        <w:rFonts w:cs="Times New Roman"/>
      </w:rPr>
    </w:lvl>
    <w:lvl w:ilvl="2" w:tplc="0813001B" w:tentative="1">
      <w:start w:val="1"/>
      <w:numFmt w:val="lowerRoman"/>
      <w:lvlText w:val="%3."/>
      <w:lvlJc w:val="right"/>
      <w:pPr>
        <w:ind w:left="3588" w:hanging="180"/>
      </w:pPr>
      <w:rPr>
        <w:rFonts w:cs="Times New Roman"/>
      </w:rPr>
    </w:lvl>
    <w:lvl w:ilvl="3" w:tplc="0813000F" w:tentative="1">
      <w:start w:val="1"/>
      <w:numFmt w:val="decimal"/>
      <w:lvlText w:val="%4."/>
      <w:lvlJc w:val="left"/>
      <w:pPr>
        <w:ind w:left="4308" w:hanging="360"/>
      </w:pPr>
      <w:rPr>
        <w:rFonts w:cs="Times New Roman"/>
      </w:rPr>
    </w:lvl>
    <w:lvl w:ilvl="4" w:tplc="08130019" w:tentative="1">
      <w:start w:val="1"/>
      <w:numFmt w:val="lowerLetter"/>
      <w:lvlText w:val="%5."/>
      <w:lvlJc w:val="left"/>
      <w:pPr>
        <w:ind w:left="5028" w:hanging="360"/>
      </w:pPr>
      <w:rPr>
        <w:rFonts w:cs="Times New Roman"/>
      </w:rPr>
    </w:lvl>
    <w:lvl w:ilvl="5" w:tplc="0813001B" w:tentative="1">
      <w:start w:val="1"/>
      <w:numFmt w:val="lowerRoman"/>
      <w:lvlText w:val="%6."/>
      <w:lvlJc w:val="right"/>
      <w:pPr>
        <w:ind w:left="5748" w:hanging="180"/>
      </w:pPr>
      <w:rPr>
        <w:rFonts w:cs="Times New Roman"/>
      </w:rPr>
    </w:lvl>
    <w:lvl w:ilvl="6" w:tplc="0813000F" w:tentative="1">
      <w:start w:val="1"/>
      <w:numFmt w:val="decimal"/>
      <w:lvlText w:val="%7."/>
      <w:lvlJc w:val="left"/>
      <w:pPr>
        <w:ind w:left="6468" w:hanging="360"/>
      </w:pPr>
      <w:rPr>
        <w:rFonts w:cs="Times New Roman"/>
      </w:rPr>
    </w:lvl>
    <w:lvl w:ilvl="7" w:tplc="08130019" w:tentative="1">
      <w:start w:val="1"/>
      <w:numFmt w:val="lowerLetter"/>
      <w:lvlText w:val="%8."/>
      <w:lvlJc w:val="left"/>
      <w:pPr>
        <w:ind w:left="7188" w:hanging="360"/>
      </w:pPr>
      <w:rPr>
        <w:rFonts w:cs="Times New Roman"/>
      </w:rPr>
    </w:lvl>
    <w:lvl w:ilvl="8" w:tplc="0813001B" w:tentative="1">
      <w:start w:val="1"/>
      <w:numFmt w:val="lowerRoman"/>
      <w:lvlText w:val="%9."/>
      <w:lvlJc w:val="right"/>
      <w:pPr>
        <w:ind w:left="7908" w:hanging="180"/>
      </w:pPr>
      <w:rPr>
        <w:rFonts w:cs="Times New Roman"/>
      </w:rPr>
    </w:lvl>
  </w:abstractNum>
  <w:abstractNum w:abstractNumId="18">
    <w:nsid w:val="4067681B"/>
    <w:multiLevelType w:val="hybridMultilevel"/>
    <w:tmpl w:val="2A6CE1B4"/>
    <w:lvl w:ilvl="0" w:tplc="0813000F">
      <w:start w:val="1"/>
      <w:numFmt w:val="decimal"/>
      <w:lvlText w:val="%1."/>
      <w:lvlJc w:val="left"/>
      <w:pPr>
        <w:ind w:left="2160" w:hanging="360"/>
      </w:pPr>
      <w:rPr>
        <w:rFonts w:cs="Times New Roman"/>
      </w:rPr>
    </w:lvl>
    <w:lvl w:ilvl="1" w:tplc="08130019" w:tentative="1">
      <w:start w:val="1"/>
      <w:numFmt w:val="lowerLetter"/>
      <w:lvlText w:val="%2."/>
      <w:lvlJc w:val="left"/>
      <w:pPr>
        <w:ind w:left="2880" w:hanging="360"/>
      </w:pPr>
      <w:rPr>
        <w:rFonts w:cs="Times New Roman"/>
      </w:rPr>
    </w:lvl>
    <w:lvl w:ilvl="2" w:tplc="0813001B" w:tentative="1">
      <w:start w:val="1"/>
      <w:numFmt w:val="lowerRoman"/>
      <w:lvlText w:val="%3."/>
      <w:lvlJc w:val="right"/>
      <w:pPr>
        <w:ind w:left="3600" w:hanging="180"/>
      </w:pPr>
      <w:rPr>
        <w:rFonts w:cs="Times New Roman"/>
      </w:rPr>
    </w:lvl>
    <w:lvl w:ilvl="3" w:tplc="0813000F" w:tentative="1">
      <w:start w:val="1"/>
      <w:numFmt w:val="decimal"/>
      <w:lvlText w:val="%4."/>
      <w:lvlJc w:val="left"/>
      <w:pPr>
        <w:ind w:left="4320" w:hanging="360"/>
      </w:pPr>
      <w:rPr>
        <w:rFonts w:cs="Times New Roman"/>
      </w:rPr>
    </w:lvl>
    <w:lvl w:ilvl="4" w:tplc="08130019" w:tentative="1">
      <w:start w:val="1"/>
      <w:numFmt w:val="lowerLetter"/>
      <w:lvlText w:val="%5."/>
      <w:lvlJc w:val="left"/>
      <w:pPr>
        <w:ind w:left="5040" w:hanging="360"/>
      </w:pPr>
      <w:rPr>
        <w:rFonts w:cs="Times New Roman"/>
      </w:rPr>
    </w:lvl>
    <w:lvl w:ilvl="5" w:tplc="0813001B" w:tentative="1">
      <w:start w:val="1"/>
      <w:numFmt w:val="lowerRoman"/>
      <w:lvlText w:val="%6."/>
      <w:lvlJc w:val="right"/>
      <w:pPr>
        <w:ind w:left="5760" w:hanging="180"/>
      </w:pPr>
      <w:rPr>
        <w:rFonts w:cs="Times New Roman"/>
      </w:rPr>
    </w:lvl>
    <w:lvl w:ilvl="6" w:tplc="0813000F" w:tentative="1">
      <w:start w:val="1"/>
      <w:numFmt w:val="decimal"/>
      <w:lvlText w:val="%7."/>
      <w:lvlJc w:val="left"/>
      <w:pPr>
        <w:ind w:left="6480" w:hanging="360"/>
      </w:pPr>
      <w:rPr>
        <w:rFonts w:cs="Times New Roman"/>
      </w:rPr>
    </w:lvl>
    <w:lvl w:ilvl="7" w:tplc="08130019" w:tentative="1">
      <w:start w:val="1"/>
      <w:numFmt w:val="lowerLetter"/>
      <w:lvlText w:val="%8."/>
      <w:lvlJc w:val="left"/>
      <w:pPr>
        <w:ind w:left="7200" w:hanging="360"/>
      </w:pPr>
      <w:rPr>
        <w:rFonts w:cs="Times New Roman"/>
      </w:rPr>
    </w:lvl>
    <w:lvl w:ilvl="8" w:tplc="0813001B" w:tentative="1">
      <w:start w:val="1"/>
      <w:numFmt w:val="lowerRoman"/>
      <w:lvlText w:val="%9."/>
      <w:lvlJc w:val="right"/>
      <w:pPr>
        <w:ind w:left="7920" w:hanging="180"/>
      </w:pPr>
      <w:rPr>
        <w:rFonts w:cs="Times New Roman"/>
      </w:rPr>
    </w:lvl>
  </w:abstractNum>
  <w:abstractNum w:abstractNumId="19">
    <w:nsid w:val="40CC0322"/>
    <w:multiLevelType w:val="hybridMultilevel"/>
    <w:tmpl w:val="D3BC70D8"/>
    <w:lvl w:ilvl="0" w:tplc="0813000F">
      <w:start w:val="1"/>
      <w:numFmt w:val="decimal"/>
      <w:lvlText w:val="%1."/>
      <w:lvlJc w:val="left"/>
      <w:pPr>
        <w:ind w:left="2148" w:hanging="360"/>
      </w:pPr>
      <w:rPr>
        <w:rFonts w:cs="Times New Roman"/>
      </w:rPr>
    </w:lvl>
    <w:lvl w:ilvl="1" w:tplc="08130019" w:tentative="1">
      <w:start w:val="1"/>
      <w:numFmt w:val="lowerLetter"/>
      <w:lvlText w:val="%2."/>
      <w:lvlJc w:val="left"/>
      <w:pPr>
        <w:ind w:left="2868" w:hanging="360"/>
      </w:pPr>
      <w:rPr>
        <w:rFonts w:cs="Times New Roman"/>
      </w:rPr>
    </w:lvl>
    <w:lvl w:ilvl="2" w:tplc="0813001B" w:tentative="1">
      <w:start w:val="1"/>
      <w:numFmt w:val="lowerRoman"/>
      <w:lvlText w:val="%3."/>
      <w:lvlJc w:val="right"/>
      <w:pPr>
        <w:ind w:left="3588" w:hanging="180"/>
      </w:pPr>
      <w:rPr>
        <w:rFonts w:cs="Times New Roman"/>
      </w:rPr>
    </w:lvl>
    <w:lvl w:ilvl="3" w:tplc="0813000F" w:tentative="1">
      <w:start w:val="1"/>
      <w:numFmt w:val="decimal"/>
      <w:lvlText w:val="%4."/>
      <w:lvlJc w:val="left"/>
      <w:pPr>
        <w:ind w:left="4308" w:hanging="360"/>
      </w:pPr>
      <w:rPr>
        <w:rFonts w:cs="Times New Roman"/>
      </w:rPr>
    </w:lvl>
    <w:lvl w:ilvl="4" w:tplc="08130019" w:tentative="1">
      <w:start w:val="1"/>
      <w:numFmt w:val="lowerLetter"/>
      <w:lvlText w:val="%5."/>
      <w:lvlJc w:val="left"/>
      <w:pPr>
        <w:ind w:left="5028" w:hanging="360"/>
      </w:pPr>
      <w:rPr>
        <w:rFonts w:cs="Times New Roman"/>
      </w:rPr>
    </w:lvl>
    <w:lvl w:ilvl="5" w:tplc="0813001B" w:tentative="1">
      <w:start w:val="1"/>
      <w:numFmt w:val="lowerRoman"/>
      <w:lvlText w:val="%6."/>
      <w:lvlJc w:val="right"/>
      <w:pPr>
        <w:ind w:left="5748" w:hanging="180"/>
      </w:pPr>
      <w:rPr>
        <w:rFonts w:cs="Times New Roman"/>
      </w:rPr>
    </w:lvl>
    <w:lvl w:ilvl="6" w:tplc="0813000F" w:tentative="1">
      <w:start w:val="1"/>
      <w:numFmt w:val="decimal"/>
      <w:lvlText w:val="%7."/>
      <w:lvlJc w:val="left"/>
      <w:pPr>
        <w:ind w:left="6468" w:hanging="360"/>
      </w:pPr>
      <w:rPr>
        <w:rFonts w:cs="Times New Roman"/>
      </w:rPr>
    </w:lvl>
    <w:lvl w:ilvl="7" w:tplc="08130019" w:tentative="1">
      <w:start w:val="1"/>
      <w:numFmt w:val="lowerLetter"/>
      <w:lvlText w:val="%8."/>
      <w:lvlJc w:val="left"/>
      <w:pPr>
        <w:ind w:left="7188" w:hanging="360"/>
      </w:pPr>
      <w:rPr>
        <w:rFonts w:cs="Times New Roman"/>
      </w:rPr>
    </w:lvl>
    <w:lvl w:ilvl="8" w:tplc="0813001B" w:tentative="1">
      <w:start w:val="1"/>
      <w:numFmt w:val="lowerRoman"/>
      <w:lvlText w:val="%9."/>
      <w:lvlJc w:val="right"/>
      <w:pPr>
        <w:ind w:left="7908" w:hanging="180"/>
      </w:pPr>
      <w:rPr>
        <w:rFonts w:cs="Times New Roman"/>
      </w:rPr>
    </w:lvl>
  </w:abstractNum>
  <w:abstractNum w:abstractNumId="20">
    <w:nsid w:val="488E3461"/>
    <w:multiLevelType w:val="hybridMultilevel"/>
    <w:tmpl w:val="5CC6A73C"/>
    <w:lvl w:ilvl="0" w:tplc="0813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1">
    <w:nsid w:val="496B3FD5"/>
    <w:multiLevelType w:val="hybridMultilevel"/>
    <w:tmpl w:val="18C2102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nsid w:val="4B6C3D88"/>
    <w:multiLevelType w:val="hybridMultilevel"/>
    <w:tmpl w:val="9468F17A"/>
    <w:lvl w:ilvl="0" w:tplc="0813000F">
      <w:start w:val="1"/>
      <w:numFmt w:val="decimal"/>
      <w:lvlText w:val="%1."/>
      <w:lvlJc w:val="left"/>
      <w:pPr>
        <w:ind w:left="2160" w:hanging="360"/>
      </w:pPr>
      <w:rPr>
        <w:rFonts w:cs="Times New Roman"/>
      </w:rPr>
    </w:lvl>
    <w:lvl w:ilvl="1" w:tplc="08130019" w:tentative="1">
      <w:start w:val="1"/>
      <w:numFmt w:val="lowerLetter"/>
      <w:lvlText w:val="%2."/>
      <w:lvlJc w:val="left"/>
      <w:pPr>
        <w:ind w:left="2880" w:hanging="360"/>
      </w:pPr>
      <w:rPr>
        <w:rFonts w:cs="Times New Roman"/>
      </w:rPr>
    </w:lvl>
    <w:lvl w:ilvl="2" w:tplc="0813001B" w:tentative="1">
      <w:start w:val="1"/>
      <w:numFmt w:val="lowerRoman"/>
      <w:lvlText w:val="%3."/>
      <w:lvlJc w:val="right"/>
      <w:pPr>
        <w:ind w:left="3600" w:hanging="180"/>
      </w:pPr>
      <w:rPr>
        <w:rFonts w:cs="Times New Roman"/>
      </w:rPr>
    </w:lvl>
    <w:lvl w:ilvl="3" w:tplc="0813000F" w:tentative="1">
      <w:start w:val="1"/>
      <w:numFmt w:val="decimal"/>
      <w:lvlText w:val="%4."/>
      <w:lvlJc w:val="left"/>
      <w:pPr>
        <w:ind w:left="4320" w:hanging="360"/>
      </w:pPr>
      <w:rPr>
        <w:rFonts w:cs="Times New Roman"/>
      </w:rPr>
    </w:lvl>
    <w:lvl w:ilvl="4" w:tplc="08130019" w:tentative="1">
      <w:start w:val="1"/>
      <w:numFmt w:val="lowerLetter"/>
      <w:lvlText w:val="%5."/>
      <w:lvlJc w:val="left"/>
      <w:pPr>
        <w:ind w:left="5040" w:hanging="360"/>
      </w:pPr>
      <w:rPr>
        <w:rFonts w:cs="Times New Roman"/>
      </w:rPr>
    </w:lvl>
    <w:lvl w:ilvl="5" w:tplc="0813001B" w:tentative="1">
      <w:start w:val="1"/>
      <w:numFmt w:val="lowerRoman"/>
      <w:lvlText w:val="%6."/>
      <w:lvlJc w:val="right"/>
      <w:pPr>
        <w:ind w:left="5760" w:hanging="180"/>
      </w:pPr>
      <w:rPr>
        <w:rFonts w:cs="Times New Roman"/>
      </w:rPr>
    </w:lvl>
    <w:lvl w:ilvl="6" w:tplc="0813000F" w:tentative="1">
      <w:start w:val="1"/>
      <w:numFmt w:val="decimal"/>
      <w:lvlText w:val="%7."/>
      <w:lvlJc w:val="left"/>
      <w:pPr>
        <w:ind w:left="6480" w:hanging="360"/>
      </w:pPr>
      <w:rPr>
        <w:rFonts w:cs="Times New Roman"/>
      </w:rPr>
    </w:lvl>
    <w:lvl w:ilvl="7" w:tplc="08130019" w:tentative="1">
      <w:start w:val="1"/>
      <w:numFmt w:val="lowerLetter"/>
      <w:lvlText w:val="%8."/>
      <w:lvlJc w:val="left"/>
      <w:pPr>
        <w:ind w:left="7200" w:hanging="360"/>
      </w:pPr>
      <w:rPr>
        <w:rFonts w:cs="Times New Roman"/>
      </w:rPr>
    </w:lvl>
    <w:lvl w:ilvl="8" w:tplc="0813001B" w:tentative="1">
      <w:start w:val="1"/>
      <w:numFmt w:val="lowerRoman"/>
      <w:lvlText w:val="%9."/>
      <w:lvlJc w:val="right"/>
      <w:pPr>
        <w:ind w:left="7920" w:hanging="180"/>
      </w:pPr>
      <w:rPr>
        <w:rFonts w:cs="Times New Roman"/>
      </w:rPr>
    </w:lvl>
  </w:abstractNum>
  <w:abstractNum w:abstractNumId="23">
    <w:nsid w:val="52A707FD"/>
    <w:multiLevelType w:val="hybridMultilevel"/>
    <w:tmpl w:val="472002A4"/>
    <w:lvl w:ilvl="0" w:tplc="0813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4">
    <w:nsid w:val="585B55DD"/>
    <w:multiLevelType w:val="hybridMultilevel"/>
    <w:tmpl w:val="AAAAB27E"/>
    <w:lvl w:ilvl="0" w:tplc="0813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5">
    <w:nsid w:val="5D1C4971"/>
    <w:multiLevelType w:val="hybridMultilevel"/>
    <w:tmpl w:val="5DF016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5DBF2836"/>
    <w:multiLevelType w:val="hybridMultilevel"/>
    <w:tmpl w:val="9ED4B0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5E0E0582"/>
    <w:multiLevelType w:val="hybridMultilevel"/>
    <w:tmpl w:val="E2881EB8"/>
    <w:lvl w:ilvl="0" w:tplc="0813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8">
    <w:nsid w:val="60B726B9"/>
    <w:multiLevelType w:val="hybridMultilevel"/>
    <w:tmpl w:val="0C2EB26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nsid w:val="632B32DE"/>
    <w:multiLevelType w:val="hybridMultilevel"/>
    <w:tmpl w:val="57EA2304"/>
    <w:lvl w:ilvl="0" w:tplc="0813000F">
      <w:start w:val="1"/>
      <w:numFmt w:val="decimal"/>
      <w:lvlText w:val="%1."/>
      <w:lvlJc w:val="left"/>
      <w:pPr>
        <w:ind w:left="2160" w:hanging="360"/>
      </w:pPr>
      <w:rPr>
        <w:rFonts w:cs="Times New Roman"/>
      </w:rPr>
    </w:lvl>
    <w:lvl w:ilvl="1" w:tplc="08130019" w:tentative="1">
      <w:start w:val="1"/>
      <w:numFmt w:val="lowerLetter"/>
      <w:lvlText w:val="%2."/>
      <w:lvlJc w:val="left"/>
      <w:pPr>
        <w:ind w:left="2880" w:hanging="360"/>
      </w:pPr>
      <w:rPr>
        <w:rFonts w:cs="Times New Roman"/>
      </w:rPr>
    </w:lvl>
    <w:lvl w:ilvl="2" w:tplc="0813001B" w:tentative="1">
      <w:start w:val="1"/>
      <w:numFmt w:val="lowerRoman"/>
      <w:lvlText w:val="%3."/>
      <w:lvlJc w:val="right"/>
      <w:pPr>
        <w:ind w:left="3600" w:hanging="180"/>
      </w:pPr>
      <w:rPr>
        <w:rFonts w:cs="Times New Roman"/>
      </w:rPr>
    </w:lvl>
    <w:lvl w:ilvl="3" w:tplc="0813000F" w:tentative="1">
      <w:start w:val="1"/>
      <w:numFmt w:val="decimal"/>
      <w:lvlText w:val="%4."/>
      <w:lvlJc w:val="left"/>
      <w:pPr>
        <w:ind w:left="4320" w:hanging="360"/>
      </w:pPr>
      <w:rPr>
        <w:rFonts w:cs="Times New Roman"/>
      </w:rPr>
    </w:lvl>
    <w:lvl w:ilvl="4" w:tplc="08130019" w:tentative="1">
      <w:start w:val="1"/>
      <w:numFmt w:val="lowerLetter"/>
      <w:lvlText w:val="%5."/>
      <w:lvlJc w:val="left"/>
      <w:pPr>
        <w:ind w:left="5040" w:hanging="360"/>
      </w:pPr>
      <w:rPr>
        <w:rFonts w:cs="Times New Roman"/>
      </w:rPr>
    </w:lvl>
    <w:lvl w:ilvl="5" w:tplc="0813001B" w:tentative="1">
      <w:start w:val="1"/>
      <w:numFmt w:val="lowerRoman"/>
      <w:lvlText w:val="%6."/>
      <w:lvlJc w:val="right"/>
      <w:pPr>
        <w:ind w:left="5760" w:hanging="180"/>
      </w:pPr>
      <w:rPr>
        <w:rFonts w:cs="Times New Roman"/>
      </w:rPr>
    </w:lvl>
    <w:lvl w:ilvl="6" w:tplc="0813000F" w:tentative="1">
      <w:start w:val="1"/>
      <w:numFmt w:val="decimal"/>
      <w:lvlText w:val="%7."/>
      <w:lvlJc w:val="left"/>
      <w:pPr>
        <w:ind w:left="6480" w:hanging="360"/>
      </w:pPr>
      <w:rPr>
        <w:rFonts w:cs="Times New Roman"/>
      </w:rPr>
    </w:lvl>
    <w:lvl w:ilvl="7" w:tplc="08130019" w:tentative="1">
      <w:start w:val="1"/>
      <w:numFmt w:val="lowerLetter"/>
      <w:lvlText w:val="%8."/>
      <w:lvlJc w:val="left"/>
      <w:pPr>
        <w:ind w:left="7200" w:hanging="360"/>
      </w:pPr>
      <w:rPr>
        <w:rFonts w:cs="Times New Roman"/>
      </w:rPr>
    </w:lvl>
    <w:lvl w:ilvl="8" w:tplc="0813001B" w:tentative="1">
      <w:start w:val="1"/>
      <w:numFmt w:val="lowerRoman"/>
      <w:lvlText w:val="%9."/>
      <w:lvlJc w:val="right"/>
      <w:pPr>
        <w:ind w:left="7920" w:hanging="180"/>
      </w:pPr>
      <w:rPr>
        <w:rFonts w:cs="Times New Roman"/>
      </w:rPr>
    </w:lvl>
  </w:abstractNum>
  <w:abstractNum w:abstractNumId="30">
    <w:nsid w:val="685B3AD4"/>
    <w:multiLevelType w:val="hybridMultilevel"/>
    <w:tmpl w:val="47B674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68B81978"/>
    <w:multiLevelType w:val="hybridMultilevel"/>
    <w:tmpl w:val="728253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692C1006"/>
    <w:multiLevelType w:val="hybridMultilevel"/>
    <w:tmpl w:val="E0408FB2"/>
    <w:lvl w:ilvl="0" w:tplc="08130003">
      <w:start w:val="1"/>
      <w:numFmt w:val="bullet"/>
      <w:lvlText w:val="o"/>
      <w:lvlJc w:val="left"/>
      <w:pPr>
        <w:ind w:left="1428" w:hanging="360"/>
      </w:pPr>
      <w:rPr>
        <w:rFonts w:ascii="Courier New" w:hAnsi="Courier New" w:hint="default"/>
      </w:rPr>
    </w:lvl>
    <w:lvl w:ilvl="1" w:tplc="08130003" w:tentative="1">
      <w:start w:val="1"/>
      <w:numFmt w:val="bullet"/>
      <w:lvlText w:val="o"/>
      <w:lvlJc w:val="left"/>
      <w:pPr>
        <w:ind w:left="2148" w:hanging="360"/>
      </w:pPr>
      <w:rPr>
        <w:rFonts w:ascii="Courier New" w:hAnsi="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3">
    <w:nsid w:val="74A65559"/>
    <w:multiLevelType w:val="hybridMultilevel"/>
    <w:tmpl w:val="2960AF06"/>
    <w:lvl w:ilvl="0" w:tplc="0813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4">
    <w:nsid w:val="7D7A77CD"/>
    <w:multiLevelType w:val="hybridMultilevel"/>
    <w:tmpl w:val="7876C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nsid w:val="7EF1314F"/>
    <w:multiLevelType w:val="hybridMultilevel"/>
    <w:tmpl w:val="BAA259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5"/>
  </w:num>
  <w:num w:numId="2">
    <w:abstractNumId w:val="21"/>
  </w:num>
  <w:num w:numId="3">
    <w:abstractNumId w:val="14"/>
  </w:num>
  <w:num w:numId="4">
    <w:abstractNumId w:val="34"/>
  </w:num>
  <w:num w:numId="5">
    <w:abstractNumId w:val="13"/>
  </w:num>
  <w:num w:numId="6">
    <w:abstractNumId w:val="30"/>
  </w:num>
  <w:num w:numId="7">
    <w:abstractNumId w:val="31"/>
  </w:num>
  <w:num w:numId="8">
    <w:abstractNumId w:val="26"/>
  </w:num>
  <w:num w:numId="9">
    <w:abstractNumId w:val="24"/>
  </w:num>
  <w:num w:numId="10">
    <w:abstractNumId w:val="11"/>
  </w:num>
  <w:num w:numId="11">
    <w:abstractNumId w:val="33"/>
  </w:num>
  <w:num w:numId="12">
    <w:abstractNumId w:val="16"/>
  </w:num>
  <w:num w:numId="13">
    <w:abstractNumId w:val="17"/>
  </w:num>
  <w:num w:numId="14">
    <w:abstractNumId w:val="20"/>
  </w:num>
  <w:num w:numId="15">
    <w:abstractNumId w:val="22"/>
  </w:num>
  <w:num w:numId="16">
    <w:abstractNumId w:val="32"/>
  </w:num>
  <w:num w:numId="17">
    <w:abstractNumId w:val="19"/>
  </w:num>
  <w:num w:numId="18">
    <w:abstractNumId w:val="23"/>
  </w:num>
  <w:num w:numId="19">
    <w:abstractNumId w:val="27"/>
  </w:num>
  <w:num w:numId="20">
    <w:abstractNumId w:val="18"/>
  </w:num>
  <w:num w:numId="21">
    <w:abstractNumId w:val="29"/>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10"/>
  </w:num>
  <w:num w:numId="33">
    <w:abstractNumId w:val="12"/>
  </w:num>
  <w:num w:numId="34">
    <w:abstractNumId w:val="15"/>
  </w:num>
  <w:num w:numId="35">
    <w:abstractNumId w:val="28"/>
  </w:num>
  <w:num w:numId="3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F73"/>
    <w:rsid w:val="00000524"/>
    <w:rsid w:val="000203EE"/>
    <w:rsid w:val="000253E9"/>
    <w:rsid w:val="0003167E"/>
    <w:rsid w:val="00096CE3"/>
    <w:rsid w:val="001112B9"/>
    <w:rsid w:val="00126772"/>
    <w:rsid w:val="00130210"/>
    <w:rsid w:val="001D4745"/>
    <w:rsid w:val="00206992"/>
    <w:rsid w:val="002714E5"/>
    <w:rsid w:val="00301D37"/>
    <w:rsid w:val="00315A4C"/>
    <w:rsid w:val="00331B44"/>
    <w:rsid w:val="00340B38"/>
    <w:rsid w:val="003757A1"/>
    <w:rsid w:val="00376D89"/>
    <w:rsid w:val="003805AB"/>
    <w:rsid w:val="003B00F1"/>
    <w:rsid w:val="003C5D14"/>
    <w:rsid w:val="003D000E"/>
    <w:rsid w:val="003F53FF"/>
    <w:rsid w:val="004146B4"/>
    <w:rsid w:val="004635C5"/>
    <w:rsid w:val="004975DB"/>
    <w:rsid w:val="004C4629"/>
    <w:rsid w:val="004C61AA"/>
    <w:rsid w:val="005031D7"/>
    <w:rsid w:val="0054324D"/>
    <w:rsid w:val="00555C02"/>
    <w:rsid w:val="005D7C98"/>
    <w:rsid w:val="006201FF"/>
    <w:rsid w:val="0063323E"/>
    <w:rsid w:val="00645889"/>
    <w:rsid w:val="00657642"/>
    <w:rsid w:val="006B391B"/>
    <w:rsid w:val="006D2C40"/>
    <w:rsid w:val="00704A92"/>
    <w:rsid w:val="007150F4"/>
    <w:rsid w:val="007217A3"/>
    <w:rsid w:val="00723717"/>
    <w:rsid w:val="00740697"/>
    <w:rsid w:val="00747EAF"/>
    <w:rsid w:val="007522F8"/>
    <w:rsid w:val="00754855"/>
    <w:rsid w:val="00763634"/>
    <w:rsid w:val="00766E50"/>
    <w:rsid w:val="0078382A"/>
    <w:rsid w:val="007B047C"/>
    <w:rsid w:val="00803EAC"/>
    <w:rsid w:val="00807125"/>
    <w:rsid w:val="00814216"/>
    <w:rsid w:val="00817E3D"/>
    <w:rsid w:val="00831AF6"/>
    <w:rsid w:val="008760E8"/>
    <w:rsid w:val="00896979"/>
    <w:rsid w:val="008D257D"/>
    <w:rsid w:val="008E21AF"/>
    <w:rsid w:val="009104C1"/>
    <w:rsid w:val="00914652"/>
    <w:rsid w:val="0098269C"/>
    <w:rsid w:val="00997CD5"/>
    <w:rsid w:val="009A7ED7"/>
    <w:rsid w:val="009B067D"/>
    <w:rsid w:val="009B6B7D"/>
    <w:rsid w:val="009E61E3"/>
    <w:rsid w:val="00A05EF5"/>
    <w:rsid w:val="00A1048B"/>
    <w:rsid w:val="00A360B7"/>
    <w:rsid w:val="00A5718B"/>
    <w:rsid w:val="00A64A65"/>
    <w:rsid w:val="00A9631F"/>
    <w:rsid w:val="00B326D3"/>
    <w:rsid w:val="00B66B48"/>
    <w:rsid w:val="00B8439C"/>
    <w:rsid w:val="00BB1C31"/>
    <w:rsid w:val="00BE4AA2"/>
    <w:rsid w:val="00C5077B"/>
    <w:rsid w:val="00C50909"/>
    <w:rsid w:val="00C81641"/>
    <w:rsid w:val="00C901E7"/>
    <w:rsid w:val="00CD6B1F"/>
    <w:rsid w:val="00CE580F"/>
    <w:rsid w:val="00CE687F"/>
    <w:rsid w:val="00D011CB"/>
    <w:rsid w:val="00D02F73"/>
    <w:rsid w:val="00D20478"/>
    <w:rsid w:val="00D425B9"/>
    <w:rsid w:val="00D52046"/>
    <w:rsid w:val="00D61639"/>
    <w:rsid w:val="00D7692A"/>
    <w:rsid w:val="00DB6989"/>
    <w:rsid w:val="00DC6378"/>
    <w:rsid w:val="00DD6A38"/>
    <w:rsid w:val="00DF01B3"/>
    <w:rsid w:val="00E01020"/>
    <w:rsid w:val="00E04042"/>
    <w:rsid w:val="00E041CF"/>
    <w:rsid w:val="00E13FDA"/>
    <w:rsid w:val="00E15168"/>
    <w:rsid w:val="00E314A4"/>
    <w:rsid w:val="00E8398A"/>
    <w:rsid w:val="00ED7D0C"/>
    <w:rsid w:val="00EF5521"/>
    <w:rsid w:val="00F15AC4"/>
    <w:rsid w:val="00F30B6D"/>
    <w:rsid w:val="00F4096A"/>
    <w:rsid w:val="00F646EC"/>
    <w:rsid w:val="00F76F3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nl-BE" w:eastAsia="nl-B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989"/>
    <w:rPr>
      <w:sz w:val="20"/>
      <w:lang w:eastAsia="en-US"/>
    </w:rPr>
  </w:style>
  <w:style w:type="paragraph" w:styleId="Heading1">
    <w:name w:val="heading 1"/>
    <w:basedOn w:val="Normal"/>
    <w:next w:val="Normal"/>
    <w:link w:val="Heading1Char"/>
    <w:uiPriority w:val="99"/>
    <w:qFormat/>
    <w:rsid w:val="0063323E"/>
    <w:pPr>
      <w:keepNext/>
      <w:keepLines/>
      <w:spacing w:before="480"/>
      <w:outlineLvl w:val="0"/>
    </w:pPr>
    <w:rPr>
      <w:rFonts w:eastAsia="Times New Roman"/>
      <w:b/>
      <w:bCs/>
      <w:sz w:val="32"/>
      <w:szCs w:val="28"/>
      <w:u w:val="single"/>
    </w:rPr>
  </w:style>
  <w:style w:type="paragraph" w:styleId="Heading2">
    <w:name w:val="heading 2"/>
    <w:basedOn w:val="Normal"/>
    <w:next w:val="Normal"/>
    <w:link w:val="Heading2Char"/>
    <w:uiPriority w:val="99"/>
    <w:qFormat/>
    <w:rsid w:val="00D02F73"/>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DB6989"/>
    <w:pPr>
      <w:keepNext/>
      <w:keepLines/>
      <w:spacing w:before="20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3323E"/>
    <w:rPr>
      <w:rFonts w:eastAsia="Times New Roman" w:cs="Times New Roman"/>
      <w:b/>
      <w:bCs/>
      <w:sz w:val="28"/>
      <w:szCs w:val="28"/>
      <w:u w:val="single"/>
    </w:rPr>
  </w:style>
  <w:style w:type="character" w:customStyle="1" w:styleId="Heading2Char">
    <w:name w:val="Heading 2 Char"/>
    <w:basedOn w:val="DefaultParagraphFont"/>
    <w:link w:val="Heading2"/>
    <w:uiPriority w:val="99"/>
    <w:locked/>
    <w:rsid w:val="00D02F73"/>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DB6989"/>
    <w:rPr>
      <w:rFonts w:ascii="Cambria" w:hAnsi="Cambria" w:cs="Times New Roman"/>
      <w:b/>
      <w:bCs/>
      <w:color w:val="4F81BD"/>
    </w:rPr>
  </w:style>
  <w:style w:type="paragraph" w:styleId="Title">
    <w:name w:val="Title"/>
    <w:basedOn w:val="Normal"/>
    <w:next w:val="Normal"/>
    <w:link w:val="TitleChar"/>
    <w:uiPriority w:val="99"/>
    <w:qFormat/>
    <w:rsid w:val="00D02F73"/>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D02F73"/>
    <w:rPr>
      <w:rFonts w:ascii="Cambria" w:hAnsi="Cambria" w:cs="Times New Roman"/>
      <w:color w:val="17365D"/>
      <w:spacing w:val="5"/>
      <w:kern w:val="28"/>
      <w:sz w:val="52"/>
      <w:szCs w:val="52"/>
    </w:rPr>
  </w:style>
  <w:style w:type="paragraph" w:styleId="ListParagraph">
    <w:name w:val="List Paragraph"/>
    <w:basedOn w:val="Normal"/>
    <w:uiPriority w:val="99"/>
    <w:qFormat/>
    <w:rsid w:val="0054324D"/>
    <w:pPr>
      <w:ind w:left="720"/>
      <w:contextualSpacing/>
    </w:pPr>
  </w:style>
  <w:style w:type="paragraph" w:styleId="Subtitle">
    <w:name w:val="Subtitle"/>
    <w:basedOn w:val="Normal"/>
    <w:next w:val="Normal"/>
    <w:link w:val="SubtitleChar"/>
    <w:uiPriority w:val="99"/>
    <w:qFormat/>
    <w:rsid w:val="00BB1C31"/>
    <w:pPr>
      <w:numPr>
        <w:ilvl w:val="1"/>
      </w:numPr>
    </w:pPr>
    <w:rPr>
      <w:rFonts w:ascii="Cambria" w:eastAsia="Times New Roman" w:hAnsi="Cambria"/>
      <w:i/>
      <w:iCs/>
      <w:color w:val="4F81BD"/>
      <w:spacing w:val="15"/>
      <w:sz w:val="24"/>
      <w:szCs w:val="24"/>
    </w:rPr>
  </w:style>
  <w:style w:type="character" w:customStyle="1" w:styleId="SubtitleChar">
    <w:name w:val="Subtitle Char"/>
    <w:basedOn w:val="DefaultParagraphFont"/>
    <w:link w:val="Subtitle"/>
    <w:uiPriority w:val="99"/>
    <w:locked/>
    <w:rsid w:val="00BB1C31"/>
    <w:rPr>
      <w:rFonts w:ascii="Cambria" w:hAnsi="Cambria" w:cs="Times New Roman"/>
      <w:i/>
      <w:iCs/>
      <w:color w:val="4F81BD"/>
      <w:spacing w:val="15"/>
      <w:sz w:val="24"/>
      <w:szCs w:val="24"/>
    </w:rPr>
  </w:style>
  <w:style w:type="character" w:styleId="SubtleEmphasis">
    <w:name w:val="Subtle Emphasis"/>
    <w:basedOn w:val="DefaultParagraphFont"/>
    <w:uiPriority w:val="99"/>
    <w:qFormat/>
    <w:rsid w:val="00BB1C31"/>
    <w:rPr>
      <w:rFonts w:cs="Times New Roman"/>
      <w:i/>
      <w:iCs/>
      <w:color w:val="808080"/>
    </w:rPr>
  </w:style>
  <w:style w:type="character" w:styleId="Strong">
    <w:name w:val="Strong"/>
    <w:basedOn w:val="DefaultParagraphFont"/>
    <w:uiPriority w:val="99"/>
    <w:qFormat/>
    <w:locked/>
    <w:rsid w:val="00331B44"/>
    <w:rPr>
      <w:rFonts w:cs="Times New Roman"/>
      <w:b/>
      <w:bCs/>
    </w:rPr>
  </w:style>
  <w:style w:type="paragraph" w:styleId="FootnoteText">
    <w:name w:val="footnote text"/>
    <w:basedOn w:val="Normal"/>
    <w:link w:val="FootnoteTextChar"/>
    <w:uiPriority w:val="99"/>
    <w:semiHidden/>
    <w:rsid w:val="009A7ED7"/>
    <w:rPr>
      <w:szCs w:val="20"/>
    </w:rPr>
  </w:style>
  <w:style w:type="character" w:customStyle="1" w:styleId="FootnoteTextChar">
    <w:name w:val="Footnote Text Char"/>
    <w:basedOn w:val="DefaultParagraphFont"/>
    <w:link w:val="FootnoteText"/>
    <w:uiPriority w:val="99"/>
    <w:semiHidden/>
    <w:locked/>
    <w:rsid w:val="009A7ED7"/>
    <w:rPr>
      <w:rFonts w:ascii="Calibri" w:hAnsi="Calibri" w:cs="Times New Roman"/>
      <w:lang w:val="nl-BE" w:eastAsia="en-US" w:bidi="ar-SA"/>
    </w:rPr>
  </w:style>
  <w:style w:type="character" w:styleId="FootnoteReference">
    <w:name w:val="footnote reference"/>
    <w:basedOn w:val="DefaultParagraphFont"/>
    <w:uiPriority w:val="99"/>
    <w:semiHidden/>
    <w:rsid w:val="009A7ED7"/>
    <w:rPr>
      <w:rFonts w:cs="Times New Roman"/>
      <w:vertAlign w:val="superscript"/>
    </w:rPr>
  </w:style>
  <w:style w:type="paragraph" w:styleId="Footer">
    <w:name w:val="footer"/>
    <w:basedOn w:val="Normal"/>
    <w:link w:val="FooterChar"/>
    <w:uiPriority w:val="99"/>
    <w:rsid w:val="00803EAC"/>
    <w:pPr>
      <w:tabs>
        <w:tab w:val="center" w:pos="4536"/>
        <w:tab w:val="right" w:pos="9072"/>
      </w:tabs>
    </w:pPr>
  </w:style>
  <w:style w:type="character" w:customStyle="1" w:styleId="FooterChar">
    <w:name w:val="Footer Char"/>
    <w:basedOn w:val="DefaultParagraphFont"/>
    <w:link w:val="Footer"/>
    <w:uiPriority w:val="99"/>
    <w:semiHidden/>
    <w:rsid w:val="00BF5320"/>
    <w:rPr>
      <w:sz w:val="20"/>
      <w:lang w:eastAsia="en-US"/>
    </w:rPr>
  </w:style>
  <w:style w:type="character" w:styleId="PageNumber">
    <w:name w:val="page number"/>
    <w:basedOn w:val="DefaultParagraphFont"/>
    <w:uiPriority w:val="99"/>
    <w:rsid w:val="00803EAC"/>
    <w:rPr>
      <w:rFonts w:cs="Times New Roman"/>
    </w:rPr>
  </w:style>
  <w:style w:type="paragraph" w:styleId="TOC1">
    <w:name w:val="toc 1"/>
    <w:basedOn w:val="Normal"/>
    <w:next w:val="Normal"/>
    <w:autoRedefine/>
    <w:uiPriority w:val="99"/>
    <w:semiHidden/>
    <w:locked/>
    <w:rsid w:val="00803EAC"/>
  </w:style>
  <w:style w:type="paragraph" w:styleId="TOC3">
    <w:name w:val="toc 3"/>
    <w:basedOn w:val="Normal"/>
    <w:next w:val="Normal"/>
    <w:autoRedefine/>
    <w:uiPriority w:val="99"/>
    <w:semiHidden/>
    <w:locked/>
    <w:rsid w:val="00803EAC"/>
    <w:pPr>
      <w:ind w:left="400"/>
    </w:pPr>
  </w:style>
  <w:style w:type="paragraph" w:styleId="TOC2">
    <w:name w:val="toc 2"/>
    <w:basedOn w:val="Normal"/>
    <w:next w:val="Normal"/>
    <w:autoRedefine/>
    <w:uiPriority w:val="99"/>
    <w:semiHidden/>
    <w:locked/>
    <w:rsid w:val="00803EAC"/>
    <w:pPr>
      <w:ind w:left="200"/>
    </w:pPr>
  </w:style>
  <w:style w:type="character" w:styleId="Hyperlink">
    <w:name w:val="Hyperlink"/>
    <w:basedOn w:val="DefaultParagraphFont"/>
    <w:uiPriority w:val="99"/>
    <w:rsid w:val="00803EA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32</Pages>
  <Words>17164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Internationale organisatie deel II: </dc:title>
  <dc:subject/>
  <dc:creator>Laurine</dc:creator>
  <cp:keywords/>
  <dc:description/>
  <cp:lastModifiedBy>Gwendoline</cp:lastModifiedBy>
  <cp:revision>3</cp:revision>
  <dcterms:created xsi:type="dcterms:W3CDTF">2011-06-01T20:01:00Z</dcterms:created>
  <dcterms:modified xsi:type="dcterms:W3CDTF">2011-06-17T14:18:00Z</dcterms:modified>
</cp:coreProperties>
</file>