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rPr>
          <w:rFonts w:ascii="Barlow" w:cs="Barlow" w:eastAsia="Barlow" w:hAnsi="Barlow"/>
          <w:color w:val="0f3467"/>
          <w:highlight w:val="white"/>
        </w:rPr>
      </w:pPr>
      <w:bookmarkStart w:colFirst="0" w:colLast="0" w:name="_j0v2tup4j2n3" w:id="0"/>
      <w:bookmarkEnd w:id="0"/>
      <w:r w:rsidDel="00000000" w:rsidR="00000000" w:rsidRPr="00000000">
        <w:rPr>
          <w:rFonts w:ascii="Barlow" w:cs="Barlow" w:eastAsia="Barlow" w:hAnsi="Barlow"/>
          <w:color w:val="0f3467"/>
          <w:highlight w:val="white"/>
          <w:rtl w:val="0"/>
        </w:rPr>
        <w:t xml:space="preserve">Strategic Management</w:t>
      </w:r>
    </w:p>
    <w:p w:rsidR="00000000" w:rsidDel="00000000" w:rsidP="00000000" w:rsidRDefault="00000000" w:rsidRPr="00000000" w14:paraId="00000002">
      <w:pPr>
        <w:rPr>
          <w:rFonts w:ascii="Barlow" w:cs="Barlow" w:eastAsia="Barlow" w:hAnsi="Barlow"/>
          <w:b w:val="1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b w:val="1"/>
          <w:sz w:val="21"/>
          <w:szCs w:val="21"/>
          <w:highlight w:val="white"/>
          <w:rtl w:val="0"/>
        </w:rPr>
        <w:t xml:space="preserve">Vraag 1: Ja/nee</w:t>
      </w:r>
    </w:p>
    <w:p w:rsidR="00000000" w:rsidDel="00000000" w:rsidP="00000000" w:rsidRDefault="00000000" w:rsidRPr="00000000" w14:paraId="00000003">
      <w:pPr>
        <w:numPr>
          <w:ilvl w:val="0"/>
          <w:numId w:val="2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Juist (7x) ⇒ Strategic fit help increase the sustainability of the competitive advantage</w:t>
      </w:r>
    </w:p>
    <w:p w:rsidR="00000000" w:rsidDel="00000000" w:rsidP="00000000" w:rsidRDefault="00000000" w:rsidRPr="00000000" w14:paraId="00000004">
      <w:pPr>
        <w:numPr>
          <w:ilvl w:val="0"/>
          <w:numId w:val="2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Fout (6x) → are there only the firm and customers involved or are there other stakeholders</w:t>
      </w:r>
    </w:p>
    <w:p w:rsidR="00000000" w:rsidDel="00000000" w:rsidP="00000000" w:rsidRDefault="00000000" w:rsidRPr="00000000" w14:paraId="00000005">
      <w:pPr>
        <w:numPr>
          <w:ilvl w:val="0"/>
          <w:numId w:val="2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Fout (6x) → benchmarking is important for strategy</w:t>
      </w:r>
    </w:p>
    <w:p w:rsidR="00000000" w:rsidDel="00000000" w:rsidP="00000000" w:rsidRDefault="00000000" w:rsidRPr="00000000" w14:paraId="00000006">
      <w:pPr>
        <w:ind w:left="720" w:firstLine="0"/>
        <w:rPr>
          <w:rFonts w:ascii="Lora" w:cs="Lora" w:eastAsia="Lora" w:hAnsi="Lora"/>
          <w:i w:val="1"/>
          <w:color w:val="161125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⇒ </w:t>
      </w:r>
      <w:r w:rsidDel="00000000" w:rsidR="00000000" w:rsidRPr="00000000">
        <w:rPr>
          <w:rFonts w:ascii="Barlow" w:cs="Barlow" w:eastAsia="Barlow" w:hAnsi="Barlow"/>
          <w:i w:val="1"/>
          <w:sz w:val="21"/>
          <w:szCs w:val="21"/>
          <w:highlight w:val="white"/>
          <w:rtl w:val="0"/>
        </w:rPr>
        <w:t xml:space="preserve">True according to AI assistent: </w:t>
      </w:r>
      <w:r w:rsidDel="00000000" w:rsidR="00000000" w:rsidRPr="00000000">
        <w:rPr>
          <w:rFonts w:ascii="Nova Mono" w:cs="Nova Mono" w:eastAsia="Nova Mono" w:hAnsi="Nova Mono"/>
          <w:i w:val="1"/>
          <w:color w:val="161125"/>
          <w:sz w:val="21"/>
          <w:szCs w:val="21"/>
          <w:highlight w:val="white"/>
          <w:rtl w:val="0"/>
        </w:rPr>
        <w:t xml:space="preserve">Michael Porter argumenteert in zijn artikel `` What is Strategy ? '' dat `` Benchmarking '' met de naaste concurrenten een belangrijk onderdeel is van de strategie van een onderneming . Source: Exam2023 (2x)</w:t>
        <w:br w:type="textWrapping"/>
        <w:t xml:space="preserve">→ false want benchmarking hoort bij OE en het onderscheid tussen OE en strategy is een belangrijke volgens Porter</w:t>
      </w:r>
    </w:p>
    <w:p w:rsidR="00000000" w:rsidDel="00000000" w:rsidP="00000000" w:rsidRDefault="00000000" w:rsidRPr="00000000" w14:paraId="00000007">
      <w:pPr>
        <w:ind w:left="720" w:firstLine="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numPr>
          <w:ilvl w:val="0"/>
          <w:numId w:val="2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Fout (7x)  → environmental sustainability is the same as strategic sustainability</w:t>
      </w:r>
    </w:p>
    <w:p w:rsidR="00000000" w:rsidDel="00000000" w:rsidP="00000000" w:rsidRDefault="00000000" w:rsidRPr="00000000" w14:paraId="00000009">
      <w:pPr>
        <w:numPr>
          <w:ilvl w:val="0"/>
          <w:numId w:val="2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Fout (7x) → there are no psychological biases involved in strategic decision making</w:t>
      </w:r>
    </w:p>
    <w:p w:rsidR="00000000" w:rsidDel="00000000" w:rsidP="00000000" w:rsidRDefault="00000000" w:rsidRPr="00000000" w14:paraId="0000000A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Barlow" w:cs="Barlow" w:eastAsia="Barlow" w:hAnsi="Barlow"/>
          <w:b w:val="1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b w:val="1"/>
          <w:sz w:val="21"/>
          <w:szCs w:val="21"/>
          <w:highlight w:val="white"/>
          <w:rtl w:val="0"/>
        </w:rPr>
        <w:t xml:space="preserve">Vraag 2: </w:t>
      </w:r>
    </w:p>
    <w:p w:rsidR="00000000" w:rsidDel="00000000" w:rsidP="00000000" w:rsidRDefault="00000000" w:rsidRPr="00000000" w14:paraId="0000000C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Gastlessen: geef van de 3 gastlessen een link met de les</w:t>
      </w:r>
    </w:p>
    <w:p w:rsidR="00000000" w:rsidDel="00000000" w:rsidP="00000000" w:rsidRDefault="00000000" w:rsidRPr="00000000" w14:paraId="0000000D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rFonts w:ascii="Barlow" w:cs="Barlow" w:eastAsia="Barlow" w:hAnsi="Barlow"/>
          <w:b w:val="1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b w:val="1"/>
          <w:sz w:val="21"/>
          <w:szCs w:val="21"/>
          <w:highlight w:val="white"/>
          <w:rtl w:val="0"/>
        </w:rPr>
        <w:t xml:space="preserve">Vraag 3: 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bereken de ROIC </w:t>
      </w:r>
    </w:p>
    <w:p w:rsidR="00000000" w:rsidDel="00000000" w:rsidP="00000000" w:rsidRDefault="00000000" w:rsidRPr="00000000" w14:paraId="00000010">
      <w:pPr>
        <w:numPr>
          <w:ilvl w:val="1"/>
          <w:numId w:val="1"/>
        </w:numPr>
        <w:ind w:left="144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2022 was rond de 45% en 2024 rond de 24%? (2x)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bereken de EV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3 levers to pull, affecting EV are?</w:t>
      </w:r>
    </w:p>
    <w:p w:rsidR="00000000" w:rsidDel="00000000" w:rsidP="00000000" w:rsidRDefault="00000000" w:rsidRPr="00000000" w14:paraId="00000013">
      <w:pPr>
        <w:numPr>
          <w:ilvl w:val="1"/>
          <w:numId w:val="1"/>
        </w:numPr>
        <w:ind w:left="144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Marge, sales groei, kapitaal gebruik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what do two of these levers have to do with the ROIC // how do they affect it (can explain mathematically </w:t>
      </w:r>
    </w:p>
    <w:p w:rsidR="00000000" w:rsidDel="00000000" w:rsidP="00000000" w:rsidRDefault="00000000" w:rsidRPr="00000000" w14:paraId="00000015">
      <w:pPr>
        <w:numPr>
          <w:ilvl w:val="1"/>
          <w:numId w:val="1"/>
        </w:numPr>
        <w:ind w:left="144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ROIC=NOPLAT/sales*sales/K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which caused the difference in EV + what could be the potential reason behind it? </w:t>
      </w:r>
    </w:p>
    <w:p w:rsidR="00000000" w:rsidDel="00000000" w:rsidP="00000000" w:rsidRDefault="00000000" w:rsidRPr="00000000" w14:paraId="00000017">
      <w:pPr>
        <w:numPr>
          <w:ilvl w:val="1"/>
          <w:numId w:val="1"/>
        </w:numPr>
        <w:ind w:left="144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K is sneller gegroeid dan de sales, vermoedelijk heeft het bedrijf geïnvesteerd in projecten met ROIC&lt;WACC</w:t>
      </w:r>
    </w:p>
    <w:p w:rsidR="00000000" w:rsidDel="00000000" w:rsidP="00000000" w:rsidRDefault="00000000" w:rsidRPr="00000000" w14:paraId="00000018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b w:val="1"/>
          <w:sz w:val="21"/>
          <w:szCs w:val="21"/>
          <w:highlight w:val="white"/>
          <w:rtl w:val="0"/>
        </w:rPr>
        <w:t xml:space="preserve">Vraag 4:</w:t>
      </w: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 Le pain Quotidien versus Lunch Garden</w:t>
      </w:r>
    </w:p>
    <w:p w:rsidR="00000000" w:rsidDel="00000000" w:rsidP="00000000" w:rsidRDefault="00000000" w:rsidRPr="00000000" w14:paraId="0000001C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compare: </w:t>
      </w:r>
    </w:p>
    <w:p w:rsidR="00000000" w:rsidDel="00000000" w:rsidP="00000000" w:rsidRDefault="00000000" w:rsidRPr="00000000" w14:paraId="0000001D">
      <w:pPr>
        <w:numPr>
          <w:ilvl w:val="0"/>
          <w:numId w:val="3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scope (3 dimensions)</w:t>
      </w:r>
    </w:p>
    <w:p w:rsidR="00000000" w:rsidDel="00000000" w:rsidP="00000000" w:rsidRDefault="00000000" w:rsidRPr="00000000" w14:paraId="0000001E">
      <w:pPr>
        <w:numPr>
          <w:ilvl w:val="0"/>
          <w:numId w:val="3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compare resources and capabilities (met een framework?!)</w:t>
      </w:r>
    </w:p>
    <w:p w:rsidR="00000000" w:rsidDel="00000000" w:rsidP="00000000" w:rsidRDefault="00000000" w:rsidRPr="00000000" w14:paraId="0000001F">
      <w:pPr>
        <w:numPr>
          <w:ilvl w:val="1"/>
          <w:numId w:val="3"/>
        </w:numPr>
        <w:ind w:left="144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tangible/intangible/organizational?: was het enige “framework” waar ik aan kon denken maar inderdaad een vreemde vraag </w:t>
      </w:r>
    </w:p>
    <w:p w:rsidR="00000000" w:rsidDel="00000000" w:rsidP="00000000" w:rsidRDefault="00000000" w:rsidRPr="00000000" w14:paraId="00000020">
      <w:pPr>
        <w:ind w:left="1440" w:firstLine="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→ ik heb Porter 5 forces gebruikt, en dan uitgelegd hoe resources en capabilities de krachten eventueel konden tegengaan</w:t>
      </w:r>
    </w:p>
    <w:p w:rsidR="00000000" w:rsidDel="00000000" w:rsidP="00000000" w:rsidRDefault="00000000" w:rsidRPr="00000000" w14:paraId="00000021">
      <w:pPr>
        <w:numPr>
          <w:ilvl w:val="0"/>
          <w:numId w:val="3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analyse sustainability threat</w:t>
      </w:r>
    </w:p>
    <w:p w:rsidR="00000000" w:rsidDel="00000000" w:rsidP="00000000" w:rsidRDefault="00000000" w:rsidRPr="00000000" w14:paraId="00000022">
      <w:pPr>
        <w:numPr>
          <w:ilvl w:val="0"/>
          <w:numId w:val="3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value capture and value creation </w:t>
      </w:r>
    </w:p>
    <w:p w:rsidR="00000000" w:rsidDel="00000000" w:rsidP="00000000" w:rsidRDefault="00000000" w:rsidRPr="00000000" w14:paraId="00000023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b w:val="1"/>
          <w:sz w:val="21"/>
          <w:szCs w:val="21"/>
          <w:highlight w:val="white"/>
          <w:rtl w:val="0"/>
        </w:rPr>
        <w:t xml:space="preserve">Vraag 5:</w:t>
      </w: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 Airbnb: </w:t>
      </w:r>
    </w:p>
    <w:p w:rsidR="00000000" w:rsidDel="00000000" w:rsidP="00000000" w:rsidRDefault="00000000" w:rsidRPr="00000000" w14:paraId="00000025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Test strategy: internal, external en dynamic (2x) </w:t>
      </w:r>
    </w:p>
    <w:p w:rsidR="00000000" w:rsidDel="00000000" w:rsidP="00000000" w:rsidRDefault="00000000" w:rsidRPr="00000000" w14:paraId="00000026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ik heb die 2 testen gedaan (9x)</w:t>
      </w:r>
    </w:p>
    <w:p w:rsidR="00000000" w:rsidDel="00000000" w:rsidP="00000000" w:rsidRDefault="00000000" w:rsidRPr="00000000" w14:paraId="00000027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Lora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Barlow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  <w:font w:name="Nova Mono">
    <w:embedRegular w:fontKey="{00000000-0000-0000-0000-000000000000}" r:id="rId9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n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Lora-regular.ttf"/><Relationship Id="rId2" Type="http://schemas.openxmlformats.org/officeDocument/2006/relationships/font" Target="fonts/Lora-bold.ttf"/><Relationship Id="rId3" Type="http://schemas.openxmlformats.org/officeDocument/2006/relationships/font" Target="fonts/Lora-italic.ttf"/><Relationship Id="rId4" Type="http://schemas.openxmlformats.org/officeDocument/2006/relationships/font" Target="fonts/Lora-boldItalic.ttf"/><Relationship Id="rId9" Type="http://schemas.openxmlformats.org/officeDocument/2006/relationships/font" Target="fonts/NovaMono-regular.ttf"/><Relationship Id="rId5" Type="http://schemas.openxmlformats.org/officeDocument/2006/relationships/font" Target="fonts/Barlow-regular.ttf"/><Relationship Id="rId6" Type="http://schemas.openxmlformats.org/officeDocument/2006/relationships/font" Target="fonts/Barlow-bold.ttf"/><Relationship Id="rId7" Type="http://schemas.openxmlformats.org/officeDocument/2006/relationships/font" Target="fonts/Barlow-italic.ttf"/><Relationship Id="rId8" Type="http://schemas.openxmlformats.org/officeDocument/2006/relationships/font" Target="fonts/Barlow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