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sz w:val="28"/>
          <w:szCs w:val="28"/>
          <w:highlight w:val="white"/>
        </w:rPr>
      </w:pPr>
      <w:bookmarkStart w:colFirst="0" w:colLast="0" w:name="_cgm90bciod5d" w:id="0"/>
      <w:bookmarkEnd w:id="0"/>
      <w:r w:rsidDel="00000000" w:rsidR="00000000" w:rsidRPr="00000000">
        <w:rPr>
          <w:rFonts w:ascii="Barlow" w:cs="Barlow" w:eastAsia="Barlow" w:hAnsi="Barlow"/>
          <w:color w:val="0f3467"/>
          <w:sz w:val="28"/>
          <w:szCs w:val="28"/>
          <w:highlight w:val="white"/>
          <w:rtl w:val="0"/>
        </w:rPr>
        <w:t xml:space="preserve">Strategisch Management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 punten: 5 true/false questions + explain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Strategic fit enhances the sustainability of competitive advantage</w:t>
      </w:r>
    </w:p>
    <w:p w:rsidR="00000000" w:rsidDel="00000000" w:rsidP="00000000" w:rsidRDefault="00000000" w:rsidRPr="00000000" w14:paraId="00000004">
      <w:pPr>
        <w:ind w:left="720" w:firstLine="0"/>
        <w:rPr>
          <w:rFonts w:ascii="Barlow" w:cs="Barlow" w:eastAsia="Barlow" w:hAnsi="Barlow"/>
          <w:i w:val="1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True: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rtl w:val="0"/>
        </w:rPr>
        <w:t xml:space="preserve"> strategic fit enhances the sustainability of competitive advantage and is important for strategy. Fit locks out imitators by creating a chain that is as strong as its strongest link.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strategic sustainability and environmental sustainability are the same.</w:t>
      </w:r>
    </w:p>
    <w:p w:rsidR="00000000" w:rsidDel="00000000" w:rsidP="00000000" w:rsidRDefault="00000000" w:rsidRPr="00000000" w14:paraId="00000006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False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benchmarking according to Michael Porter is important for the strategy of a company</w:t>
      </w:r>
    </w:p>
    <w:p w:rsidR="00000000" w:rsidDel="00000000" w:rsidP="00000000" w:rsidRDefault="00000000" w:rsidRPr="00000000" w14:paraId="00000008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→ False: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activities is the most important according to Michael Porter, benchmarking is used for operational effectiveness and this is not the same as strategy.</w:t>
      </w:r>
    </w:p>
    <w:p w:rsidR="00000000" w:rsidDel="00000000" w:rsidP="00000000" w:rsidRDefault="00000000" w:rsidRPr="00000000" w14:paraId="00000009">
      <w:pPr>
        <w:ind w:left="720" w:firstLine="0"/>
        <w:rPr>
          <w:rFonts w:ascii="Lora" w:cs="Lora" w:eastAsia="Lora" w:hAnsi="Lora"/>
          <w:i w:val="1"/>
          <w:color w:val="161125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True according to AI assistent: </w:t>
      </w:r>
      <w:r w:rsidDel="00000000" w:rsidR="00000000" w:rsidRPr="00000000">
        <w:rPr>
          <w:rFonts w:ascii="Lora" w:cs="Lora" w:eastAsia="Lora" w:hAnsi="Lora"/>
          <w:i w:val="1"/>
          <w:color w:val="161125"/>
          <w:sz w:val="21"/>
          <w:szCs w:val="21"/>
          <w:highlight w:val="white"/>
          <w:rtl w:val="0"/>
        </w:rPr>
        <w:t xml:space="preserve">Michael Porter argumenteert in zijn artikel `` What is Strategy ? '' dat `` Benchmarking '' met de naaste concurrenten een belangrijk onderdeel is van de strategie van een onderneming . Source: Exam2023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value capture considers only the stakeholders firm and the client.</w:t>
      </w:r>
    </w:p>
    <w:p w:rsidR="00000000" w:rsidDel="00000000" w:rsidP="00000000" w:rsidRDefault="00000000" w:rsidRPr="00000000" w14:paraId="0000000B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False: considers all the stakeholders </w:t>
      </w:r>
    </w:p>
    <w:p w:rsidR="00000000" w:rsidDel="00000000" w:rsidP="00000000" w:rsidRDefault="00000000" w:rsidRPr="00000000" w14:paraId="0000000C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drivers of value capture: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margin: depends on business strategy &amp; competitive position (so competitors and suppliers are considered as well)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sales growth: depends on growth of markets &amp; evolution of market share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resource utilization: depends on business model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color w:val="161125"/>
          <w:sz w:val="21"/>
          <w:szCs w:val="21"/>
          <w:rtl w:val="0"/>
        </w:rPr>
        <w:t xml:space="preserve">The typical psychological biases in decision making do not apply to strategic decisions.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False.</w:t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 punten: explain what the guest speakers told about their companies and link it to concepts the course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→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 Colruyt, House of HR and Le Pain Quotidien</w:t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 punten: calculation exercise</w:t>
      </w:r>
    </w:p>
    <w:p w:rsidR="00000000" w:rsidDel="00000000" w:rsidP="00000000" w:rsidRDefault="00000000" w:rsidRPr="00000000" w14:paraId="0000001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ebit, ebitda niet gegeven. depreciation verwerkt in S,G&amp;A 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ROIC voor 2022 en 2024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EV voor 2022 en 2024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ROIC related: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geef de 3 drivers van ROIC</w:t>
      </w:r>
    </w:p>
    <w:p w:rsidR="00000000" w:rsidDel="00000000" w:rsidP="00000000" w:rsidRDefault="00000000" w:rsidRPr="00000000" w14:paraId="0000001C">
      <w:pPr>
        <w:ind w:left="144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sales growth, margin &amp; resource utilization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toon hoe 2 er van related zijn (mathematisch mag)</w:t>
      </w:r>
    </w:p>
    <w:p w:rsidR="00000000" w:rsidDel="00000000" w:rsidP="00000000" w:rsidRDefault="00000000" w:rsidRPr="00000000" w14:paraId="0000001E">
      <w:pPr>
        <w:ind w:left="144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ROIC = NOPLAT/sales   *   sales/IC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kan het verschil in EV verklaren?</w:t>
      </w:r>
    </w:p>
    <w:p w:rsidR="00000000" w:rsidDel="00000000" w:rsidP="00000000" w:rsidRDefault="00000000" w:rsidRPr="00000000" w14:paraId="00000020">
      <w:pPr>
        <w:ind w:left="144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IC &amp; fixed assets stuk hoger in 2024, ROIC daalt, EVA (NOPLAT - WACC*IC) daalt (ROIC &gt; WACC dus nog steeds value creating projects)</w:t>
      </w:r>
    </w:p>
    <w:p w:rsidR="00000000" w:rsidDel="00000000" w:rsidP="00000000" w:rsidRDefault="00000000" w:rsidRPr="00000000" w14:paraId="00000021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 punten: mini case over airbnb die zich nu ook op services gaat focussen (naast accommodatie), pas er een framework op toe om dit te beoordelen (zie case tekst onderaan document)</w:t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best alternative: does the corporation create more value with the business than any other possible corporate parent or alternative governance structure? do you need to own the business?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complexity and contractual incompleteness or unclear property rights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hold-up</w:t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better of test: does ownership of the business create benefits somewhere in the corporation? are these greater than the costs?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industry attractiveness: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mitigate 5 forces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migrate out of structurally poor industry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competitive advantage: 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cost effects (scale/scope, synergies, …)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WTP and pricing effects (umbrella branding, cross-promotion, …)</w:t>
      </w:r>
    </w:p>
    <w:p w:rsidR="00000000" w:rsidDel="00000000" w:rsidP="00000000" w:rsidRDefault="00000000" w:rsidRPr="00000000" w14:paraId="0000002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14 punten: mini case about le pain quotidien and lunch garden (zie case tekst onderaan document)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discuss the scope (2 punten)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discuss the resources and capabilities with a framework (4 punten) </w:t>
      </w:r>
    </w:p>
    <w:p w:rsidR="00000000" w:rsidDel="00000000" w:rsidP="00000000" w:rsidRDefault="00000000" w:rsidRPr="00000000" w14:paraId="00000031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5 dimensions of capability? Ik heb die tekening van de case van disney en netflix gebruikt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welke elementen zorgen voor value creation - value capture, hoe heeft dit invloed op competitive advantage? tip je kan een “visual” gebruiken voor deze vraag. (4 punten)</w:t>
      </w:r>
    </w:p>
    <w:p w:rsidR="00000000" w:rsidDel="00000000" w:rsidP="00000000" w:rsidRDefault="00000000" w:rsidRPr="00000000" w14:paraId="00000033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business model tekenen? 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discuss sustainable competitive advantage (4 punten)</w:t>
      </w:r>
    </w:p>
    <w:p w:rsidR="00000000" w:rsidDel="00000000" w:rsidP="00000000" w:rsidRDefault="00000000" w:rsidRPr="00000000" w14:paraId="00000035">
      <w:pPr>
        <w:ind w:left="720" w:firstLine="0"/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→ substitutes, imitation, hold-up &amp; slack bespreken</w:t>
      </w:r>
    </w:p>
    <w:p w:rsidR="00000000" w:rsidDel="00000000" w:rsidP="00000000" w:rsidRDefault="00000000" w:rsidRPr="00000000" w14:paraId="00000036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Barlow" w:cs="Barlow" w:eastAsia="Barlow" w:hAnsi="Barlow"/>
          <w:i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7670800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7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42926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429260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</w:rPr>
        <w:drawing>
          <wp:inline distB="114300" distT="114300" distL="114300" distR="114300">
            <wp:extent cx="5731200" cy="4292600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o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ra-regular.ttf"/><Relationship Id="rId2" Type="http://schemas.openxmlformats.org/officeDocument/2006/relationships/font" Target="fonts/Lora-bold.ttf"/><Relationship Id="rId3" Type="http://schemas.openxmlformats.org/officeDocument/2006/relationships/font" Target="fonts/Lora-italic.ttf"/><Relationship Id="rId4" Type="http://schemas.openxmlformats.org/officeDocument/2006/relationships/font" Target="fonts/Lora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