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29"/>
          <w:szCs w:val="29"/>
        </w:rPr>
      </w:pPr>
      <w:r w:rsidDel="00000000" w:rsidR="00000000" w:rsidRPr="00000000">
        <w:rPr>
          <w:b w:val="1"/>
          <w:sz w:val="29"/>
          <w:szCs w:val="29"/>
          <w:rtl w:val="0"/>
        </w:rPr>
        <w:t xml:space="preserve">quality management</w:t>
      </w:r>
    </w:p>
    <w:p w:rsidR="00000000" w:rsidDel="00000000" w:rsidP="00000000" w:rsidRDefault="00000000" w:rsidRPr="00000000" w14:paraId="00000002">
      <w:pPr>
        <w:numPr>
          <w:ilvl w:val="0"/>
          <w:numId w:val="1"/>
        </w:numPr>
        <w:ind w:left="720" w:hanging="360"/>
      </w:pPr>
      <w:r w:rsidDel="00000000" w:rsidR="00000000" w:rsidRPr="00000000">
        <w:rPr>
          <w:rtl w:val="0"/>
        </w:rPr>
        <w:t xml:space="preserve">different statements, you had to say if you agreed or not and explain. One was about a manager who said he always looked at individual measurements and when the measurement didn’t hit the target, he corrected immediately, the other person said this was good process control because you didn’t wait until there were more bad quality products produced. Another was about a 2^3 fractional design where the effect parameters were given and also a model, the statement was something about that you could already see without calculations that this model wasn’t the correct one. Another statement was about whether or not to take 10 units per hour for sampling or rather 6 units every minute or something?? (10 points)</w:t>
      </w:r>
    </w:p>
    <w:p w:rsidR="00000000" w:rsidDel="00000000" w:rsidP="00000000" w:rsidRDefault="00000000" w:rsidRPr="00000000" w14:paraId="00000003">
      <w:pPr>
        <w:numPr>
          <w:ilvl w:val="0"/>
          <w:numId w:val="1"/>
        </w:numPr>
        <w:ind w:left="720" w:hanging="360"/>
      </w:pPr>
      <w:r w:rsidDel="00000000" w:rsidR="00000000" w:rsidRPr="00000000">
        <w:rPr>
          <w:rtl w:val="0"/>
        </w:rPr>
        <w:t xml:space="preserve">question where you had to calculate the probabilities for different sampling plans. no inspection, 100% inspection, double sampling plan), so the probability that a good lot was send to the second sample or probability that a bad lot was accepted in general and then calculating profits for each plan. for the no inspection I had -310 000 euros loss, for the 100% inspection I had a profit of around 160 000?? (11 points)</w:t>
      </w:r>
    </w:p>
    <w:p w:rsidR="00000000" w:rsidDel="00000000" w:rsidP="00000000" w:rsidRDefault="00000000" w:rsidRPr="00000000" w14:paraId="00000004">
      <w:pPr>
        <w:numPr>
          <w:ilvl w:val="0"/>
          <w:numId w:val="1"/>
        </w:numPr>
        <w:ind w:left="720" w:hanging="360"/>
      </w:pPr>
      <w:r w:rsidDel="00000000" w:rsidR="00000000" w:rsidRPr="00000000">
        <w:rPr>
          <w:rtl w:val="0"/>
        </w:rPr>
        <w:t xml:space="preserve">something about process capability: calculate Cp for two machines, what is the distribution of the Xchart and calculate the parameters, calculate the probability that the machines produce within the specifications, compare the results found in the questions above and see why this was contradictory. (Cp for machine 1 was 0,66 or something, Cp for machine 2 was 1,33 but prob that machine 1 produced within specifications was 84% and that machine 2 produced within specifications was only 15% so this was unexpected → why? because Cp doesn’t hold into account the centering of a process (12 points)</w:t>
      </w:r>
    </w:p>
    <w:p w:rsidR="00000000" w:rsidDel="00000000" w:rsidP="00000000" w:rsidRDefault="00000000" w:rsidRPr="00000000" w14:paraId="00000005">
      <w:pPr>
        <w:numPr>
          <w:ilvl w:val="0"/>
          <w:numId w:val="1"/>
        </w:numPr>
        <w:ind w:left="720" w:hanging="360"/>
      </w:pPr>
      <w:r w:rsidDel="00000000" w:rsidR="00000000" w:rsidRPr="00000000">
        <w:rPr>
          <w:rtl w:val="0"/>
        </w:rPr>
        <w:t xml:space="preserve">question about quality design: you got a design table and had to calculate the missing values. for Z I had 86 and for b12 I had -3. Then you also had to calculate the coordinate of b13 on the normal probability plot and also explain why this plot could be good for seeing the significance for single replication experiments of parameters. last question was about 2^4-1 fractional design, don’t know it exactly anymore (9 points)</w:t>
      </w:r>
    </w:p>
    <w:p w:rsidR="00000000" w:rsidDel="00000000" w:rsidP="00000000" w:rsidRDefault="00000000" w:rsidRPr="00000000" w14:paraId="00000006">
      <w:pPr>
        <w:numPr>
          <w:ilvl w:val="0"/>
          <w:numId w:val="1"/>
        </w:numPr>
        <w:ind w:left="720" w:hanging="360"/>
      </w:pPr>
      <w:r w:rsidDel="00000000" w:rsidR="00000000" w:rsidRPr="00000000">
        <w:rPr>
          <w:rtl w:val="0"/>
        </w:rPr>
        <w:t xml:space="preserve">you got a mixed system with series, parallel components. you had gotten MTTR and availability and had to calculate the MTBF. then you had to calculate the reliability of one of the components supposing you wanted to achieve the availability of 95% of the machine. I had MTBF 228 hours and reliability of component B 43,12% then also a question about the bathtub function, explain and also explain why you see this in reliability (also which axe represents what?) (8 points)</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b w:val="1"/>
          <w:sz w:val="29"/>
          <w:szCs w:val="29"/>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Barlow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arl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A">
    <w:pPr>
      <w:pageBreakBefore w:val="0"/>
      <w:ind w:firstLine="72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9">
    <w:pPr>
      <w:pageBreakBefore w:val="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-457199</wp:posOffset>
          </wp:positionV>
          <wp:extent cx="7570004" cy="1263600"/>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
                  <a:srcRect b="-9907" l="0" r="0" t="0"/>
                  <a:stretch>
                    <a:fillRect/>
                  </a:stretch>
                </pic:blipFill>
                <pic:spPr>
                  <a:xfrm>
                    <a:off x="0" y="0"/>
                    <a:ext cx="7570004" cy="12636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Barlow" w:cs="Barlow" w:eastAsia="Barlow" w:hAnsi="Barlow"/>
        <w:sz w:val="21"/>
        <w:szCs w:val="21"/>
        <w:highlight w:val="white"/>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color w:val="0f3467"/>
      <w:sz w:val="40"/>
      <w:szCs w:val="40"/>
    </w:rPr>
  </w:style>
  <w:style w:type="paragraph" w:styleId="Heading2">
    <w:name w:val="heading 2"/>
    <w:basedOn w:val="Normal"/>
    <w:next w:val="Normal"/>
    <w:pPr>
      <w:keepNext w:val="1"/>
      <w:keepLines w:val="1"/>
      <w:pageBreakBefore w:val="0"/>
      <w:spacing w:after="120" w:before="360" w:lineRule="auto"/>
    </w:pPr>
    <w:rPr>
      <w:color w:val="0f3467"/>
      <w:sz w:val="32"/>
      <w:szCs w:val="32"/>
    </w:rPr>
  </w:style>
  <w:style w:type="paragraph" w:styleId="Heading3">
    <w:name w:val="heading 3"/>
    <w:basedOn w:val="Normal"/>
    <w:next w:val="Normal"/>
    <w:pPr>
      <w:keepNext w:val="1"/>
      <w:keepLines w:val="1"/>
      <w:pageBreakBefore w:val="0"/>
      <w:spacing w:after="80" w:before="320" w:lineRule="auto"/>
    </w:pPr>
    <w:rPr>
      <w:color w:val="0f3467"/>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lineRule="auto"/>
    </w:pPr>
    <w:rPr>
      <w:rFonts w:ascii="Barlow Medium" w:cs="Barlow Medium" w:eastAsia="Barlow Medium" w:hAnsi="Barlow Medium"/>
      <w:color w:val="0f3467"/>
      <w:sz w:val="52"/>
      <w:szCs w:val="52"/>
    </w:rPr>
  </w:style>
  <w:style w:type="paragraph" w:styleId="Subtitle">
    <w:name w:val="Subtitle"/>
    <w:basedOn w:val="Normal"/>
    <w:next w:val="Normal"/>
    <w:pPr>
      <w:keepNext w:val="1"/>
      <w:keepLines w:val="1"/>
      <w:pageBreakBefore w:val="0"/>
      <w:spacing w:after="320" w:lineRule="auto"/>
    </w:pPr>
    <w:rPr>
      <w:color w:val="64b5f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BarlowMedium-regular.ttf"/><Relationship Id="rId2" Type="http://schemas.openxmlformats.org/officeDocument/2006/relationships/font" Target="fonts/BarlowMedium-bold.ttf"/><Relationship Id="rId3" Type="http://schemas.openxmlformats.org/officeDocument/2006/relationships/font" Target="fonts/BarlowMedium-italic.ttf"/><Relationship Id="rId4" Type="http://schemas.openxmlformats.org/officeDocument/2006/relationships/font" Target="fonts/BarlowMedium-boldItalic.ttf"/><Relationship Id="rId5" Type="http://schemas.openxmlformats.org/officeDocument/2006/relationships/font" Target="fonts/Barlow-regular.ttf"/><Relationship Id="rId6" Type="http://schemas.openxmlformats.org/officeDocument/2006/relationships/font" Target="fonts/Barlow-bold.ttf"/><Relationship Id="rId7" Type="http://schemas.openxmlformats.org/officeDocument/2006/relationships/font" Target="fonts/Barlow-italic.ttf"/><Relationship Id="rId8" Type="http://schemas.openxmlformats.org/officeDocument/2006/relationships/font" Target="fonts/Barl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