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80FC33" w14:textId="4BA6C739" w:rsidR="001B1D48" w:rsidRPr="00705AFF" w:rsidRDefault="003729D1">
      <w:pPr>
        <w:rPr>
          <w:b/>
          <w:bCs/>
          <w:sz w:val="24"/>
          <w:szCs w:val="24"/>
        </w:rPr>
      </w:pPr>
      <w:r w:rsidRPr="00705AFF">
        <w:rPr>
          <w:b/>
          <w:bCs/>
          <w:sz w:val="24"/>
          <w:szCs w:val="24"/>
          <w:highlight w:val="yellow"/>
        </w:rPr>
        <w:t xml:space="preserve">Summary </w:t>
      </w:r>
      <w:r w:rsidR="00705AFF" w:rsidRPr="00705AFF">
        <w:rPr>
          <w:b/>
          <w:bCs/>
          <w:sz w:val="24"/>
          <w:szCs w:val="24"/>
          <w:highlight w:val="yellow"/>
        </w:rPr>
        <w:t xml:space="preserve">Chapter </w:t>
      </w:r>
      <w:r w:rsidRPr="00705AFF">
        <w:rPr>
          <w:b/>
          <w:bCs/>
          <w:sz w:val="24"/>
          <w:szCs w:val="24"/>
          <w:highlight w:val="yellow"/>
        </w:rPr>
        <w:t>3</w:t>
      </w:r>
      <w:r w:rsidRPr="00705AFF">
        <w:rPr>
          <w:b/>
          <w:bCs/>
          <w:sz w:val="24"/>
          <w:szCs w:val="24"/>
        </w:rPr>
        <w:t xml:space="preserve"> </w:t>
      </w:r>
    </w:p>
    <w:p w14:paraId="5A11D4A0" w14:textId="77777777" w:rsidR="003729D1" w:rsidRPr="00705AFF" w:rsidRDefault="003729D1" w:rsidP="003729D1">
      <w:pPr>
        <w:pStyle w:val="ListParagraph"/>
        <w:numPr>
          <w:ilvl w:val="0"/>
          <w:numId w:val="1"/>
        </w:numPr>
        <w:rPr>
          <w:b/>
          <w:bCs/>
        </w:rPr>
      </w:pPr>
      <w:r w:rsidRPr="00705AFF">
        <w:rPr>
          <w:b/>
          <w:bCs/>
        </w:rPr>
        <w:t>What is seigniorage? Is it likely to be more important for the Eurozone than for the US?</w:t>
      </w:r>
    </w:p>
    <w:p w14:paraId="5CE505DF" w14:textId="61650D4F" w:rsidR="003729D1" w:rsidRPr="003729D1" w:rsidRDefault="003729D1" w:rsidP="003729D1">
      <w:pPr>
        <w:rPr>
          <w:color w:val="C45911" w:themeColor="accent2" w:themeShade="BF"/>
        </w:rPr>
      </w:pPr>
      <w:r w:rsidRPr="003729D1">
        <w:rPr>
          <w:color w:val="C45911" w:themeColor="accent2" w:themeShade="BF"/>
        </w:rPr>
        <w:t xml:space="preserve">Seigniorage is the difference in face value of money. Such as a 0.25€, and the cost to produce it. It may be counted as a positive revenue for a government when the money it creates is worth more than it costs to produce. </w:t>
      </w:r>
    </w:p>
    <w:p w14:paraId="7CBC887B" w14:textId="51ACEF7A" w:rsidR="003729D1" w:rsidRPr="003729D1" w:rsidRDefault="003729D1" w:rsidP="003729D1">
      <w:pPr>
        <w:rPr>
          <w:color w:val="C45911" w:themeColor="accent2" w:themeShade="BF"/>
        </w:rPr>
      </w:pPr>
      <w:r w:rsidRPr="003729D1">
        <w:rPr>
          <w:color w:val="C45911" w:themeColor="accent2" w:themeShade="BF"/>
        </w:rPr>
        <w:t xml:space="preserve">The debt accumulation can be stopped by a sufficiently large revenue from money creation, this is seigniorage. But the systematic use of this source of finance will lead to inflation. </w:t>
      </w:r>
    </w:p>
    <w:p w14:paraId="726BEC04" w14:textId="7A7F94D2" w:rsidR="003729D1" w:rsidRPr="00705AFF" w:rsidRDefault="003729D1" w:rsidP="003729D1">
      <w:pPr>
        <w:pStyle w:val="ListParagraph"/>
        <w:numPr>
          <w:ilvl w:val="0"/>
          <w:numId w:val="1"/>
        </w:numPr>
        <w:rPr>
          <w:b/>
          <w:bCs/>
        </w:rPr>
      </w:pPr>
      <w:r w:rsidRPr="00705AFF">
        <w:rPr>
          <w:b/>
          <w:bCs/>
        </w:rPr>
        <w:t xml:space="preserve">Why is it that a reduction of the exchange risk within a MU does not necessarily increase welfare? </w:t>
      </w:r>
    </w:p>
    <w:p w14:paraId="15DB07AB" w14:textId="2CC5097D" w:rsidR="00F35C1F" w:rsidRPr="00341F10" w:rsidRDefault="00F35C1F" w:rsidP="003729D1">
      <w:pPr>
        <w:rPr>
          <w:color w:val="C45911" w:themeColor="accent2" w:themeShade="BF"/>
        </w:rPr>
      </w:pPr>
      <w:r w:rsidRPr="00341F10">
        <w:rPr>
          <w:color w:val="C45911" w:themeColor="accent2" w:themeShade="BF"/>
        </w:rPr>
        <w:t xml:space="preserve">The higher average profit increases the utility of a firm, whereas the uncertainty about these profits reduces the utility of the (risk-averse) firms. Therefore, it is unclear whether welfare declines when exchange rate uncertainty increases or whether the welfare of firms increases when national currencies are eliminated, and a common currency is introduced. </w:t>
      </w:r>
    </w:p>
    <w:p w14:paraId="1A739AEF" w14:textId="742DCA09" w:rsidR="00F35C1F" w:rsidRPr="00341F10" w:rsidRDefault="00F35C1F" w:rsidP="003729D1">
      <w:pPr>
        <w:rPr>
          <w:color w:val="C45911" w:themeColor="accent2" w:themeShade="BF"/>
        </w:rPr>
      </w:pPr>
      <w:r w:rsidRPr="00341F10">
        <w:rPr>
          <w:color w:val="C45911" w:themeColor="accent2" w:themeShade="BF"/>
        </w:rPr>
        <w:t xml:space="preserve">The changes in the exchange rate do not only represent a risk, they also create opportunities to make profits. When the exchange rate becomes more variable, the probability of large profits increases. </w:t>
      </w:r>
    </w:p>
    <w:p w14:paraId="1BACA9DE" w14:textId="0ADFB313" w:rsidR="00F35C1F" w:rsidRPr="00705AFF" w:rsidRDefault="00F35C1F" w:rsidP="00F35C1F">
      <w:pPr>
        <w:pStyle w:val="ListParagraph"/>
        <w:numPr>
          <w:ilvl w:val="0"/>
          <w:numId w:val="1"/>
        </w:numPr>
        <w:rPr>
          <w:b/>
          <w:bCs/>
        </w:rPr>
      </w:pPr>
      <w:r w:rsidRPr="00705AFF">
        <w:rPr>
          <w:b/>
          <w:bCs/>
        </w:rPr>
        <w:t xml:space="preserve">Why is that small countries are more likely to be part of a MU than larger? </w:t>
      </w:r>
    </w:p>
    <w:p w14:paraId="2ABB2576" w14:textId="77777777" w:rsidR="0071100F" w:rsidRDefault="00F35C1F" w:rsidP="00F35C1F">
      <w:r w:rsidRPr="00341F10">
        <w:rPr>
          <w:color w:val="C45911" w:themeColor="accent2" w:themeShade="BF"/>
        </w:rPr>
        <w:t xml:space="preserve">Transactions costs weigh more heavily in countries where firms and consumers </w:t>
      </w:r>
      <w:r w:rsidR="0071100F" w:rsidRPr="00341F10">
        <w:rPr>
          <w:color w:val="C45911" w:themeColor="accent2" w:themeShade="BF"/>
        </w:rPr>
        <w:t>buy and sell a large portion of goods/services with foreign countries. Therefore, the consumers and firms in these countries are more subject to errors as they face foreign markets with different currencies. Eliminating these risks leads to a larger welfare gain (per capita) in a small and open economy</w:t>
      </w:r>
      <w:r w:rsidR="0071100F">
        <w:t>.</w:t>
      </w:r>
    </w:p>
    <w:p w14:paraId="30855DAF" w14:textId="77777777" w:rsidR="0038097F" w:rsidRPr="00705AFF" w:rsidRDefault="0038097F" w:rsidP="0038097F">
      <w:pPr>
        <w:pStyle w:val="ListParagraph"/>
        <w:numPr>
          <w:ilvl w:val="0"/>
          <w:numId w:val="1"/>
        </w:numPr>
        <w:rPr>
          <w:b/>
          <w:bCs/>
        </w:rPr>
      </w:pPr>
      <w:r w:rsidRPr="00705AFF">
        <w:rPr>
          <w:b/>
          <w:bCs/>
        </w:rPr>
        <w:t xml:space="preserve">Evaluate the following statement: “The elimination of the transaction cost by adopting a common currency cannot be considered as a deadweight loss, because it leads to a loss of commission revenues for commercial banks”. </w:t>
      </w:r>
    </w:p>
    <w:p w14:paraId="42E59327" w14:textId="56F4F470" w:rsidR="00F35C1F" w:rsidRPr="00341F10" w:rsidRDefault="0038097F" w:rsidP="0038097F">
      <w:pPr>
        <w:rPr>
          <w:color w:val="C45911" w:themeColor="accent2" w:themeShade="BF"/>
        </w:rPr>
      </w:pPr>
      <w:r w:rsidRPr="00341F10">
        <w:rPr>
          <w:color w:val="C45911" w:themeColor="accent2" w:themeShade="BF"/>
        </w:rPr>
        <w:t xml:space="preserve">This is correct. Transaction costs themselves are considered a DWL. 5% of bank revenues are the commissions paid to banks in exchanging national currencies, and this source of revenue disappears in a MU. The transaction costs involved in exchanging money are a deadweight loss. There are like tax paid by a consumer in exchange for which they get nothing. When this is done, society has gained. </w:t>
      </w:r>
    </w:p>
    <w:p w14:paraId="56296B79" w14:textId="77777777" w:rsidR="0038097F" w:rsidRPr="00705AFF" w:rsidRDefault="0038097F" w:rsidP="0038097F">
      <w:pPr>
        <w:pStyle w:val="ListParagraph"/>
        <w:numPr>
          <w:ilvl w:val="0"/>
          <w:numId w:val="1"/>
        </w:numPr>
        <w:rPr>
          <w:b/>
          <w:bCs/>
        </w:rPr>
      </w:pPr>
      <w:r w:rsidRPr="00705AFF">
        <w:rPr>
          <w:b/>
          <w:bCs/>
        </w:rPr>
        <w:t xml:space="preserve">Explain why major imbalances appear in the TARGET payment system since 2010.  How can we interpret these imbalances? How can these imbalances be reduced? </w:t>
      </w:r>
    </w:p>
    <w:p w14:paraId="590C0CFE" w14:textId="0953C70F" w:rsidR="000B25FE" w:rsidRPr="00341F10" w:rsidRDefault="0038097F" w:rsidP="000B25FE">
      <w:pPr>
        <w:rPr>
          <w:color w:val="C45911" w:themeColor="accent2" w:themeShade="BF"/>
        </w:rPr>
      </w:pPr>
      <w:r w:rsidRPr="00341F10">
        <w:rPr>
          <w:color w:val="C45911" w:themeColor="accent2" w:themeShade="BF"/>
        </w:rPr>
        <w:t xml:space="preserve">The target system is a real time settlement system for the Eurozone, used for cross-border payments. </w:t>
      </w:r>
      <w:r w:rsidR="000B25FE" w:rsidRPr="00341F10">
        <w:rPr>
          <w:color w:val="C45911" w:themeColor="accent2" w:themeShade="BF"/>
        </w:rPr>
        <w:t xml:space="preserve">Since the sovereign debt crisis in 2010, major imbalances occur, as southern Eurozone countries had accumulated large current account deficits and were confronted with large liquidity outflows*. Whereas northern European countries received these liquidity flows. </w:t>
      </w:r>
    </w:p>
    <w:p w14:paraId="1DA8D863" w14:textId="65DF19B3" w:rsidR="000B25FE" w:rsidRPr="00341F10" w:rsidRDefault="000B25FE" w:rsidP="000B25FE">
      <w:pPr>
        <w:rPr>
          <w:color w:val="C45911" w:themeColor="accent2" w:themeShade="BF"/>
        </w:rPr>
      </w:pPr>
      <w:r w:rsidRPr="00341F10">
        <w:rPr>
          <w:color w:val="C45911" w:themeColor="accent2" w:themeShade="BF"/>
        </w:rPr>
        <w:t>Thus, the southern European countries accumulated large liabilities in the target system matched by claims of the northern European countries. These imbalances can be reduced by the reverse liquidity flows.</w:t>
      </w:r>
    </w:p>
    <w:p w14:paraId="2CC566B5" w14:textId="79C86B35" w:rsidR="00C77CEA" w:rsidRPr="00341F10" w:rsidRDefault="000B25FE" w:rsidP="000B25FE">
      <w:pPr>
        <w:rPr>
          <w:color w:val="C45911" w:themeColor="accent2" w:themeShade="BF"/>
        </w:rPr>
      </w:pPr>
      <w:r w:rsidRPr="00341F10">
        <w:rPr>
          <w:color w:val="C45911" w:themeColor="accent2" w:themeShade="BF"/>
        </w:rPr>
        <w:t>*Current account deficit- a measurement of a country's trade where the value of the goods and services it imports exceeds the value of the products it exports.</w:t>
      </w:r>
      <w:bookmarkStart w:id="0" w:name="_Hlk94210989"/>
    </w:p>
    <w:bookmarkEnd w:id="0"/>
    <w:p w14:paraId="3B67264B" w14:textId="652E4D47" w:rsidR="00F86C88" w:rsidRPr="00705AFF" w:rsidRDefault="00F86C88" w:rsidP="00F86C88">
      <w:pPr>
        <w:pStyle w:val="ListParagraph"/>
        <w:numPr>
          <w:ilvl w:val="0"/>
          <w:numId w:val="1"/>
        </w:numPr>
        <w:rPr>
          <w:b/>
          <w:bCs/>
        </w:rPr>
      </w:pPr>
      <w:r w:rsidRPr="00705AFF">
        <w:rPr>
          <w:b/>
          <w:bCs/>
          <w:noProof/>
        </w:rPr>
        <w:drawing>
          <wp:anchor distT="0" distB="0" distL="114300" distR="114300" simplePos="0" relativeHeight="251658240" behindDoc="1" locked="0" layoutInCell="1" allowOverlap="1" wp14:anchorId="66EDDD4E" wp14:editId="17F2C960">
            <wp:simplePos x="0" y="0"/>
            <wp:positionH relativeFrom="margin">
              <wp:posOffset>1941830</wp:posOffset>
            </wp:positionH>
            <wp:positionV relativeFrom="paragraph">
              <wp:posOffset>673100</wp:posOffset>
            </wp:positionV>
            <wp:extent cx="2950845" cy="1737360"/>
            <wp:effectExtent l="0" t="0" r="190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50845" cy="1737360"/>
                    </a:xfrm>
                    <a:prstGeom prst="rect">
                      <a:avLst/>
                    </a:prstGeom>
                    <a:noFill/>
                  </pic:spPr>
                </pic:pic>
              </a:graphicData>
            </a:graphic>
          </wp:anchor>
        </w:drawing>
      </w:r>
      <w:r w:rsidRPr="00705AFF">
        <w:rPr>
          <w:b/>
          <w:bCs/>
        </w:rPr>
        <w:t xml:space="preserve">Demonstrate that price uncertainty, related to a floating exchange rate regime, can have a positive effect on firms’ average profits. How then do you explain that entrepreneurs in the EU were in favor of being part of a monetary union? Relate this to what happened with the Italian lira in 1992. </w:t>
      </w:r>
    </w:p>
    <w:p w14:paraId="75F2403C" w14:textId="691852D3" w:rsidR="00F86C88" w:rsidRDefault="00F86C88" w:rsidP="00F86C88">
      <w:pPr>
        <w:pStyle w:val="ListParagraph"/>
      </w:pPr>
    </w:p>
    <w:p w14:paraId="2C71C205" w14:textId="77777777" w:rsidR="00F86C88" w:rsidRDefault="00F86C88" w:rsidP="00F86C88"/>
    <w:p w14:paraId="0F33356D" w14:textId="77777777" w:rsidR="00F86C88" w:rsidRDefault="00F86C88" w:rsidP="00F86C88"/>
    <w:p w14:paraId="0FE24310" w14:textId="77777777" w:rsidR="00F86C88" w:rsidRDefault="00F86C88" w:rsidP="00F86C88"/>
    <w:p w14:paraId="3150170F" w14:textId="77777777" w:rsidR="00F86C88" w:rsidRDefault="00F86C88" w:rsidP="00F86C88"/>
    <w:p w14:paraId="301E416F" w14:textId="77777777" w:rsidR="00F86C88" w:rsidRDefault="00F86C88" w:rsidP="00F86C88"/>
    <w:p w14:paraId="788097B9" w14:textId="68917ABB" w:rsidR="00F86C88" w:rsidRPr="00341F10" w:rsidRDefault="00F86C88" w:rsidP="00F86C88">
      <w:pPr>
        <w:rPr>
          <w:color w:val="C45911" w:themeColor="accent2" w:themeShade="BF"/>
        </w:rPr>
      </w:pPr>
      <w:r w:rsidRPr="00341F10">
        <w:rPr>
          <w:color w:val="C45911" w:themeColor="accent2" w:themeShade="BF"/>
        </w:rPr>
        <w:t>Price certainty: On the left, the profit of the firm in each period is given by the shaded area minus the area FGp1.</w:t>
      </w:r>
    </w:p>
    <w:p w14:paraId="78498798" w14:textId="77777777" w:rsidR="00F86C88" w:rsidRPr="00341F10" w:rsidRDefault="00F86C88" w:rsidP="00F86C88">
      <w:pPr>
        <w:rPr>
          <w:color w:val="C45911" w:themeColor="accent2" w:themeShade="BF"/>
        </w:rPr>
      </w:pPr>
      <w:r w:rsidRPr="00341F10">
        <w:rPr>
          <w:color w:val="C45911" w:themeColor="accent2" w:themeShade="BF"/>
        </w:rPr>
        <w:t xml:space="preserve">Price uncertainty: the profit will fluctuates depending on whether the price p1 or p2 prevails. The profit will be larger on average in the uncertain regime than in the certain regime. When the price is low the profit is lower than in the certainty case by the area p1BCp2. When the price is high, the profit is higher than in the certainty case by the area p3EBp1. </w:t>
      </w:r>
    </w:p>
    <w:p w14:paraId="37E3C7EF" w14:textId="77777777" w:rsidR="00F86C88" w:rsidRPr="00341F10" w:rsidRDefault="00F86C88" w:rsidP="00F86C88">
      <w:pPr>
        <w:rPr>
          <w:color w:val="C45911" w:themeColor="accent2" w:themeShade="BF"/>
        </w:rPr>
      </w:pPr>
      <w:r w:rsidRPr="00341F10">
        <w:rPr>
          <w:color w:val="C45911" w:themeColor="accent2" w:themeShade="BF"/>
        </w:rPr>
        <w:t xml:space="preserve">This happens because when the price is high, the firm increases output to profit from the higher revenue per unit of output. Thus, it gains a higher profit for each unit and it expands its output. When the price is low, however, the firm will do the opposite: it will reduce output. In so doing it limits the reduction of total profit. </w:t>
      </w:r>
    </w:p>
    <w:p w14:paraId="3879DD16" w14:textId="77777777" w:rsidR="00F86C88" w:rsidRPr="00341F10" w:rsidRDefault="00F86C88" w:rsidP="00F86C88">
      <w:pPr>
        <w:rPr>
          <w:color w:val="C45911" w:themeColor="accent2" w:themeShade="BF"/>
        </w:rPr>
      </w:pPr>
      <w:r w:rsidRPr="00341F10">
        <w:rPr>
          <w:color w:val="C45911" w:themeColor="accent2" w:themeShade="BF"/>
        </w:rPr>
        <w:t xml:space="preserve">However, the exchange rate changes are not normally distributed, there are periods tranquillity and periods of turbulence. During these turbulent periods, exchange rate changes can be very large and produce bubbles followed later by crashes. Such movements in the exchange rate create “tail risks”- the risk of a very large change that occurs with low probability. When it occurs, the effect can be devastating- the decline in the exchange rate can be so large that the price falls way below the marginal cost curve, forcing the firm to close. </w:t>
      </w:r>
    </w:p>
    <w:p w14:paraId="362376D9" w14:textId="77777777" w:rsidR="00F86C88" w:rsidRPr="00341F10" w:rsidRDefault="00F86C88" w:rsidP="00F86C88">
      <w:pPr>
        <w:rPr>
          <w:color w:val="C45911" w:themeColor="accent2" w:themeShade="BF"/>
        </w:rPr>
      </w:pPr>
      <w:r w:rsidRPr="00341F10">
        <w:rPr>
          <w:color w:val="C45911" w:themeColor="accent2" w:themeShade="BF"/>
        </w:rPr>
        <w:t xml:space="preserve">Such large exchange rate movements occurred massively within the European Union (EU) during the early 1990s, when some currencies (ex: Italian lira and Spanish peseta) depreciated by 20-30% in a few weeks, creating large adjustment costs in countries like Germany and the Benelux. These large exchange rates were a major factor in convincing many leaders of these countries to move into a monetary union. The main two reasons were: </w:t>
      </w:r>
    </w:p>
    <w:p w14:paraId="26421A17" w14:textId="3C579AD3" w:rsidR="00F86C88" w:rsidRPr="00341F10" w:rsidRDefault="00F86C88" w:rsidP="00F86C88">
      <w:pPr>
        <w:rPr>
          <w:color w:val="C45911" w:themeColor="accent2" w:themeShade="BF"/>
        </w:rPr>
      </w:pPr>
      <w:r w:rsidRPr="00341F10">
        <w:rPr>
          <w:color w:val="C45911" w:themeColor="accent2" w:themeShade="BF"/>
        </w:rPr>
        <w:t>First, it was felt that it would be difficult to manage exchange rates in a world of free capital mobility. Second, these exchange rate movements were increasingly seen as major sources of asymmetric disturbances, instead of being variables that could be used to adjust to asymmetric shocks.</w:t>
      </w:r>
    </w:p>
    <w:p w14:paraId="6D8A6EB2" w14:textId="77777777" w:rsidR="00F86C88" w:rsidRPr="00705AFF" w:rsidRDefault="00F86C88" w:rsidP="00F86C88">
      <w:pPr>
        <w:pStyle w:val="ListParagraph"/>
        <w:numPr>
          <w:ilvl w:val="0"/>
          <w:numId w:val="1"/>
        </w:numPr>
        <w:rPr>
          <w:b/>
          <w:bCs/>
        </w:rPr>
      </w:pPr>
      <w:r w:rsidRPr="00705AFF">
        <w:rPr>
          <w:b/>
          <w:bCs/>
        </w:rPr>
        <w:t xml:space="preserve">Explain how the elimination of exchange rate risk may increase private investment and can lead to sustained economic growth in the long run. How much of this has come through when we apply this to the creation of the Eurozone? Explain. </w:t>
      </w:r>
    </w:p>
    <w:p w14:paraId="69B66B55" w14:textId="16407891" w:rsidR="00AD2C1A" w:rsidRPr="00341F10" w:rsidRDefault="00E70979" w:rsidP="00E70979">
      <w:pPr>
        <w:rPr>
          <w:color w:val="C45911" w:themeColor="accent2" w:themeShade="BF"/>
        </w:rPr>
      </w:pPr>
      <w:r w:rsidRPr="00341F10">
        <w:rPr>
          <w:color w:val="C45911" w:themeColor="accent2" w:themeShade="BF"/>
        </w:rPr>
        <w:t>Elimination of the exchange risk reduces the systematic risk and lowers the real interest rate. This is a less risky environment as investors will require a lower risk premium.</w:t>
      </w:r>
      <w:r w:rsidR="00AD2C1A" w:rsidRPr="00341F10">
        <w:rPr>
          <w:color w:val="C45911" w:themeColor="accent2" w:themeShade="BF"/>
        </w:rPr>
        <w:t xml:space="preserve"> </w:t>
      </w:r>
      <w:r w:rsidRPr="00341F10">
        <w:rPr>
          <w:color w:val="C45911" w:themeColor="accent2" w:themeShade="BF"/>
        </w:rPr>
        <w:t xml:space="preserve">When agents discount the future, they will be willing to use a lower discount rate too. </w:t>
      </w:r>
    </w:p>
    <w:p w14:paraId="021E0559" w14:textId="720E68FD" w:rsidR="00E70979" w:rsidRPr="00341F10" w:rsidRDefault="00E70979" w:rsidP="00E70979">
      <w:pPr>
        <w:rPr>
          <w:color w:val="C45911" w:themeColor="accent2" w:themeShade="BF"/>
        </w:rPr>
      </w:pPr>
      <w:r w:rsidRPr="00341F10">
        <w:rPr>
          <w:color w:val="C45911" w:themeColor="accent2" w:themeShade="BF"/>
        </w:rPr>
        <w:t xml:space="preserve">In the neoclassical growth model, the reduction of the interest rate due to the monetary union temporarily increases the rate of growth of output. </w:t>
      </w:r>
      <w:r w:rsidR="00AD2C1A" w:rsidRPr="00341F10">
        <w:rPr>
          <w:color w:val="C45911" w:themeColor="accent2" w:themeShade="BF"/>
        </w:rPr>
        <w:t xml:space="preserve">Lowering the interest rate </w:t>
      </w:r>
      <w:r w:rsidRPr="00341F10">
        <w:rPr>
          <w:color w:val="C45911" w:themeColor="accent2" w:themeShade="BF"/>
        </w:rPr>
        <w:t>can put the economy on a higher growth path.</w:t>
      </w:r>
    </w:p>
    <w:p w14:paraId="07DB5810" w14:textId="59983732" w:rsidR="00F86C88" w:rsidRPr="00341F10" w:rsidRDefault="00AD2C1A" w:rsidP="00E70979">
      <w:pPr>
        <w:rPr>
          <w:color w:val="C45911" w:themeColor="accent2" w:themeShade="BF"/>
        </w:rPr>
      </w:pPr>
      <w:r w:rsidRPr="00341F10">
        <w:rPr>
          <w:color w:val="C45911" w:themeColor="accent2" w:themeShade="BF"/>
        </w:rPr>
        <w:t xml:space="preserve">However, </w:t>
      </w:r>
      <w:r w:rsidR="00E70979" w:rsidRPr="00341F10">
        <w:rPr>
          <w:color w:val="C45911" w:themeColor="accent2" w:themeShade="BF"/>
        </w:rPr>
        <w:t>GDP has increased at a significantly lower rate in the euro area than in the USA and EU-10.</w:t>
      </w:r>
      <w:r w:rsidRPr="00341F10">
        <w:rPr>
          <w:color w:val="C45911" w:themeColor="accent2" w:themeShade="BF"/>
        </w:rPr>
        <w:t xml:space="preserve"> </w:t>
      </w:r>
      <w:r w:rsidR="00E70979" w:rsidRPr="00341F10">
        <w:rPr>
          <w:color w:val="C45911" w:themeColor="accent2" w:themeShade="BF"/>
        </w:rPr>
        <w:t>It also took longer for the Euro area to recover from 2008 crisis. The main reason is probably that the reduced exchange rate uncertainty within the union does not seem to have led to a significant decline in the real interest rate.</w:t>
      </w:r>
    </w:p>
    <w:p w14:paraId="0600CAE6" w14:textId="77777777" w:rsidR="00AD2C1A" w:rsidRPr="00705AFF" w:rsidRDefault="00AD2C1A" w:rsidP="00AD2C1A">
      <w:pPr>
        <w:pStyle w:val="ListParagraph"/>
        <w:numPr>
          <w:ilvl w:val="0"/>
          <w:numId w:val="1"/>
        </w:numPr>
        <w:rPr>
          <w:b/>
          <w:bCs/>
        </w:rPr>
      </w:pPr>
      <w:r w:rsidRPr="00705AFF">
        <w:rPr>
          <w:b/>
          <w:bCs/>
        </w:rPr>
        <w:t xml:space="preserve">Explain, on the basis of the balance sheet of a central bank, how the use of the dollar as international reserve generates a source of finance for the US.  Is this likely to happen in the Eurozone? </w:t>
      </w:r>
    </w:p>
    <w:p w14:paraId="2F42135B" w14:textId="52B4C4A4" w:rsidR="00CC7E47" w:rsidRPr="00341F10" w:rsidRDefault="00CC7E47" w:rsidP="00AD2C1A">
      <w:pPr>
        <w:rPr>
          <w:color w:val="C45911" w:themeColor="accent2" w:themeShade="BF"/>
        </w:rPr>
      </w:pPr>
      <w:r w:rsidRPr="00341F10">
        <w:rPr>
          <w:color w:val="C45911" w:themeColor="accent2" w:themeShade="BF"/>
        </w:rPr>
        <w:t xml:space="preserve">When a currency is issued internationally, the issuer of that currency obtains additional reserves. In 1999, more than a half of the dollars issued by FED were used outside of the USA. This doubled the size of the FED’s balance sheet, and the potential profits of the FED are also more than doubled. </w:t>
      </w:r>
    </w:p>
    <w:p w14:paraId="673AA5F5" w14:textId="77777777" w:rsidR="00CC7E47" w:rsidRPr="00341F10" w:rsidRDefault="00CC7E47" w:rsidP="00CC7E47">
      <w:pPr>
        <w:rPr>
          <w:color w:val="C45911" w:themeColor="accent2" w:themeShade="BF"/>
        </w:rPr>
      </w:pPr>
      <w:r w:rsidRPr="00341F10">
        <w:rPr>
          <w:color w:val="C45911" w:themeColor="accent2" w:themeShade="BF"/>
        </w:rPr>
        <w:t xml:space="preserve">Since the profits go to the US government, US citizens enjoy less taxes. If the euro became a world currency like the dollar, citizens of the Eurozone would enjoy similar benefits. The euro is issued in Central and Eastern Europe, creating revenue for the citizens of the Eurozone.Another benefit is when an international currency is also being held as international reserve by foreign CB (usually in the form of treasury securities).  </w:t>
      </w:r>
    </w:p>
    <w:p w14:paraId="7FAB84C7" w14:textId="1E59CBF6" w:rsidR="00CC7E47" w:rsidRPr="00341F10" w:rsidRDefault="00CC7E47" w:rsidP="00CC7E47">
      <w:pPr>
        <w:rPr>
          <w:color w:val="C45911" w:themeColor="accent2" w:themeShade="BF"/>
        </w:rPr>
      </w:pPr>
      <w:r w:rsidRPr="00341F10">
        <w:rPr>
          <w:color w:val="C45911" w:themeColor="accent2" w:themeShade="BF"/>
        </w:rPr>
        <w:lastRenderedPageBreak/>
        <w:t>The Central bank of China holds under 1 trillion dollars as US treasury securities – an important source of easy financing for US budget deficits during the past decade. The euro is now used as a reserve currency by foreign CB. The share is between 20-25%, while for the US it is between 60% and 70%.</w:t>
      </w:r>
    </w:p>
    <w:p w14:paraId="30EA43A6" w14:textId="77777777" w:rsidR="00B565B4" w:rsidRPr="00705AFF" w:rsidRDefault="00B565B4" w:rsidP="00B565B4">
      <w:pPr>
        <w:pStyle w:val="ListParagraph"/>
        <w:numPr>
          <w:ilvl w:val="0"/>
          <w:numId w:val="1"/>
        </w:numPr>
        <w:rPr>
          <w:b/>
          <w:bCs/>
        </w:rPr>
      </w:pPr>
      <w:r w:rsidRPr="00705AFF">
        <w:rPr>
          <w:b/>
          <w:bCs/>
        </w:rPr>
        <w:t>Why is it that small open economies have more benefits from being part of a monetary union than large countries?</w:t>
      </w:r>
    </w:p>
    <w:p w14:paraId="75F270BC" w14:textId="196C1741" w:rsidR="00CC7E47" w:rsidRPr="00341F10" w:rsidRDefault="00B565B4" w:rsidP="00B565B4">
      <w:pPr>
        <w:rPr>
          <w:color w:val="C45911" w:themeColor="accent2" w:themeShade="BF"/>
        </w:rPr>
      </w:pPr>
      <w:r w:rsidRPr="00341F10">
        <w:rPr>
          <w:color w:val="C45911" w:themeColor="accent2" w:themeShade="BF"/>
        </w:rPr>
        <w:t>The elimination of transaction costs weighs more heavily in countries where firms</w:t>
      </w:r>
      <w:r w:rsidR="00341F10" w:rsidRPr="00341F10">
        <w:rPr>
          <w:color w:val="C45911" w:themeColor="accent2" w:themeShade="BF"/>
        </w:rPr>
        <w:t>/</w:t>
      </w:r>
      <w:r w:rsidRPr="00341F10">
        <w:rPr>
          <w:color w:val="C45911" w:themeColor="accent2" w:themeShade="BF"/>
        </w:rPr>
        <w:t>consumers buy and sell a large proportion of goods</w:t>
      </w:r>
      <w:r w:rsidR="00341F10" w:rsidRPr="00341F10">
        <w:rPr>
          <w:color w:val="C45911" w:themeColor="accent2" w:themeShade="BF"/>
        </w:rPr>
        <w:t>/</w:t>
      </w:r>
      <w:r w:rsidRPr="00341F10">
        <w:rPr>
          <w:color w:val="C45911" w:themeColor="accent2" w:themeShade="BF"/>
        </w:rPr>
        <w:t>services in foreign countries. Thus, the consumers</w:t>
      </w:r>
      <w:r w:rsidR="00341F10" w:rsidRPr="00341F10">
        <w:rPr>
          <w:color w:val="C45911" w:themeColor="accent2" w:themeShade="BF"/>
        </w:rPr>
        <w:t>/</w:t>
      </w:r>
      <w:r w:rsidRPr="00341F10">
        <w:rPr>
          <w:color w:val="C45911" w:themeColor="accent2" w:themeShade="BF"/>
        </w:rPr>
        <w:t xml:space="preserve"> firms in these countries are more subject to decision errors because they face large foreign markets with different currencies. Eliminating these risks will lead to a larger welfare gain (per capita) in small and open economies than in large and relatively closed countries.</w:t>
      </w:r>
    </w:p>
    <w:p w14:paraId="1E65A948" w14:textId="4EA04826" w:rsidR="00B565B4" w:rsidRPr="00705AFF" w:rsidRDefault="00B565B4" w:rsidP="00B565B4">
      <w:pPr>
        <w:pStyle w:val="ListParagraph"/>
        <w:numPr>
          <w:ilvl w:val="0"/>
          <w:numId w:val="1"/>
        </w:numPr>
        <w:rPr>
          <w:b/>
          <w:bCs/>
        </w:rPr>
      </w:pPr>
      <w:r w:rsidRPr="00705AFF">
        <w:rPr>
          <w:b/>
          <w:bCs/>
        </w:rPr>
        <w:t>It is argued that the euro as international currency will boost activities in the domestic financial market.  Explain.  Is this compatible with the fact that London City, which is not in the Eurozone, is the headquarter of financial industry?</w:t>
      </w:r>
    </w:p>
    <w:p w14:paraId="1C7A866A" w14:textId="2AEDC964" w:rsidR="00B565B4" w:rsidRPr="00341F10" w:rsidRDefault="00B565B4" w:rsidP="00B565B4">
      <w:pPr>
        <w:rPr>
          <w:color w:val="C45911" w:themeColor="accent2" w:themeShade="BF"/>
        </w:rPr>
      </w:pPr>
      <w:r w:rsidRPr="00341F10">
        <w:rPr>
          <w:color w:val="C45911" w:themeColor="accent2" w:themeShade="BF"/>
        </w:rPr>
        <w:t xml:space="preserve">When a currency becomes an international one, this will boost activity for domestic financial markets. Foreign residents will want to invest in assets and issue debt in that currency. Domestic banks will attract business, and so will the bond and equity markets. Thus, if the euro becomes an international currency like the dollar, this is likely to create new opportunities for financial institutions in Eurozone. </w:t>
      </w:r>
    </w:p>
    <w:p w14:paraId="7F53CAE7" w14:textId="07578B9A" w:rsidR="00341F10" w:rsidRPr="00341F10" w:rsidRDefault="00341F10" w:rsidP="00B565B4">
      <w:pPr>
        <w:rPr>
          <w:color w:val="C45911" w:themeColor="accent2" w:themeShade="BF"/>
        </w:rPr>
      </w:pPr>
      <w:r w:rsidRPr="00341F10">
        <w:rPr>
          <w:color w:val="C45911" w:themeColor="accent2" w:themeShade="BF"/>
        </w:rPr>
        <w:t>The existence of euro has lowered fixed and variable costs of exporting firms. This has allowed firms that only catered for domestic markets to start exporting to other Eurozone countries. Small firms have profited from this effect. In addition, firms that already exported have increased the range of products they sell abroad.</w:t>
      </w:r>
    </w:p>
    <w:p w14:paraId="31FC611B" w14:textId="5C1E8EE5" w:rsidR="003641CD" w:rsidRPr="00216555" w:rsidRDefault="00B565B4" w:rsidP="00705AFF">
      <w:pPr>
        <w:rPr>
          <w:color w:val="C45911" w:themeColor="accent2" w:themeShade="BF"/>
        </w:rPr>
      </w:pPr>
      <w:r w:rsidRPr="00341F10">
        <w:rPr>
          <w:color w:val="C45911" w:themeColor="accent2" w:themeShade="BF"/>
        </w:rPr>
        <w:t xml:space="preserve">UK has been able to attract financial activities from the rest of the world without the support of a local currency. Although, the pound sterling no longer a major role in the world, UK is generating services that the rest of the world is ready to pay for. </w:t>
      </w:r>
    </w:p>
    <w:p w14:paraId="09210785" w14:textId="0DEF577F" w:rsidR="00705AFF" w:rsidRPr="00705AFF" w:rsidRDefault="00705AFF" w:rsidP="00705AFF">
      <w:pPr>
        <w:rPr>
          <w:b/>
          <w:bCs/>
          <w:sz w:val="24"/>
          <w:szCs w:val="24"/>
        </w:rPr>
      </w:pPr>
      <w:r w:rsidRPr="00705AFF">
        <w:rPr>
          <w:b/>
          <w:bCs/>
          <w:sz w:val="24"/>
          <w:szCs w:val="24"/>
          <w:highlight w:val="yellow"/>
        </w:rPr>
        <w:t xml:space="preserve">Summary Chapter </w:t>
      </w:r>
      <w:r>
        <w:rPr>
          <w:b/>
          <w:bCs/>
          <w:sz w:val="24"/>
          <w:szCs w:val="24"/>
          <w:highlight w:val="yellow"/>
        </w:rPr>
        <w:t>4</w:t>
      </w:r>
      <w:r w:rsidRPr="00705AFF">
        <w:rPr>
          <w:b/>
          <w:bCs/>
          <w:sz w:val="24"/>
          <w:szCs w:val="24"/>
        </w:rPr>
        <w:t xml:space="preserve"> </w:t>
      </w:r>
    </w:p>
    <w:p w14:paraId="6FA226A2" w14:textId="10A938B7" w:rsidR="005E7167" w:rsidRPr="00216555" w:rsidRDefault="00DD038A" w:rsidP="00216555">
      <w:pPr>
        <w:pStyle w:val="ListParagraph"/>
        <w:numPr>
          <w:ilvl w:val="0"/>
          <w:numId w:val="9"/>
        </w:numPr>
        <w:rPr>
          <w:b/>
          <w:bCs/>
        </w:rPr>
      </w:pPr>
      <w:r w:rsidRPr="00216555">
        <w:rPr>
          <w:b/>
          <w:bCs/>
        </w:rPr>
        <w:t>What is the Keynesian view of the costs of a monetary union?</w:t>
      </w:r>
      <w:r w:rsidRPr="008E121B">
        <w:t xml:space="preserve"> </w:t>
      </w:r>
      <w:r w:rsidR="005E7167" w:rsidRPr="00216555">
        <w:rPr>
          <w:b/>
          <w:bCs/>
        </w:rPr>
        <w:t xml:space="preserve">Explain why the Keynesian view is pessimistic about the prospects of a MU and why the monetarist view is optimistic. </w:t>
      </w:r>
    </w:p>
    <w:p w14:paraId="4F28B037" w14:textId="7CB9376A" w:rsidR="005E7167" w:rsidRPr="00DD038A" w:rsidRDefault="005E7167" w:rsidP="005E7167">
      <w:pPr>
        <w:rPr>
          <w:color w:val="2E74B5" w:themeColor="accent5" w:themeShade="BF"/>
        </w:rPr>
      </w:pPr>
      <w:r w:rsidRPr="00DD038A">
        <w:rPr>
          <w:color w:val="2E74B5" w:themeColor="accent5" w:themeShade="BF"/>
        </w:rPr>
        <w:t xml:space="preserve">Monetarist view claims that national monetary policies are ineffective as instruments to correct for asymmetric shocks, permanent or temporary. The use of these policies typically makes countries worse off. In this monetarist view the cost curve Is very close to the origin. Many countries in the world would gain by relinquishing their national currencies and joining a MU. </w:t>
      </w:r>
    </w:p>
    <w:p w14:paraId="09C9B11B" w14:textId="1C47B37B" w:rsidR="008E121B" w:rsidRPr="00DD038A" w:rsidRDefault="005E7167" w:rsidP="008E121B">
      <w:pPr>
        <w:rPr>
          <w:color w:val="2E74B5" w:themeColor="accent5" w:themeShade="BF"/>
        </w:rPr>
      </w:pPr>
      <w:r w:rsidRPr="00DD038A">
        <w:rPr>
          <w:color w:val="2E74B5" w:themeColor="accent5" w:themeShade="BF"/>
        </w:rPr>
        <w:t>Keynesian view states that the world is full of rigidities. Therefore, the national monetary policies and the exchange rate are powerful instruments in absorbing asymmetric shocks. In this view the cost curve is away from origin</w:t>
      </w:r>
      <w:r w:rsidR="008E121B" w:rsidRPr="00DD038A">
        <w:rPr>
          <w:color w:val="2E74B5" w:themeColor="accent5" w:themeShade="BF"/>
        </w:rPr>
        <w:t xml:space="preserve">, meaning that there is a high probability that joining a MU is costly. </w:t>
      </w:r>
    </w:p>
    <w:p w14:paraId="1FD8FB5C" w14:textId="6E008B90" w:rsidR="005E7167" w:rsidRPr="00216555" w:rsidRDefault="005E7167" w:rsidP="00216555">
      <w:pPr>
        <w:pStyle w:val="ListParagraph"/>
        <w:numPr>
          <w:ilvl w:val="0"/>
          <w:numId w:val="9"/>
        </w:numPr>
        <w:rPr>
          <w:b/>
          <w:bCs/>
        </w:rPr>
      </w:pPr>
      <w:r w:rsidRPr="00216555">
        <w:rPr>
          <w:b/>
          <w:bCs/>
        </w:rPr>
        <w:t xml:space="preserve">Does increase in asymmetric shocks lead to conclusion that labour market </w:t>
      </w:r>
      <w:r w:rsidR="00DD038A" w:rsidRPr="00216555">
        <w:rPr>
          <w:b/>
          <w:bCs/>
        </w:rPr>
        <w:t>should</w:t>
      </w:r>
      <w:r w:rsidRPr="00216555">
        <w:rPr>
          <w:b/>
          <w:bCs/>
        </w:rPr>
        <w:t xml:space="preserve"> be </w:t>
      </w:r>
      <w:r w:rsidR="00216555" w:rsidRPr="00216555">
        <w:rPr>
          <w:b/>
          <w:bCs/>
        </w:rPr>
        <w:t>+</w:t>
      </w:r>
      <w:r w:rsidRPr="00216555">
        <w:rPr>
          <w:b/>
          <w:bCs/>
        </w:rPr>
        <w:t xml:space="preserve">flexible? </w:t>
      </w:r>
    </w:p>
    <w:p w14:paraId="5DDB8DDD" w14:textId="77777777" w:rsidR="00216555" w:rsidRDefault="00D2741E" w:rsidP="00216555">
      <w:pPr>
        <w:rPr>
          <w:color w:val="2E74B5" w:themeColor="accent5" w:themeShade="BF"/>
        </w:rPr>
      </w:pPr>
      <w:r w:rsidRPr="00DD038A">
        <w:rPr>
          <w:color w:val="2E74B5" w:themeColor="accent5" w:themeShade="BF"/>
        </w:rPr>
        <w:t xml:space="preserve">Yes. The theory of optimum currency areas (OCAs) states that countries or regions that experience a lot of asymmetries in output and employment growth need more flexibility in their labour markets if they want to benefit from the MU and to avoid adjustment problems. A centralized wage bargaining system would be very detrimental to output and employment in sectors that experience less favourable developments. </w:t>
      </w:r>
    </w:p>
    <w:p w14:paraId="0F191E44" w14:textId="504B8CB5" w:rsidR="005E7167" w:rsidRPr="00216555" w:rsidRDefault="00216555" w:rsidP="00216555">
      <w:pPr>
        <w:pStyle w:val="ListParagraph"/>
        <w:numPr>
          <w:ilvl w:val="0"/>
          <w:numId w:val="9"/>
        </w:numPr>
        <w:rPr>
          <w:b/>
          <w:bCs/>
        </w:rPr>
      </w:pPr>
      <w:r w:rsidRPr="00DD038A">
        <w:rPr>
          <w:noProof/>
          <w:color w:val="2E74B5" w:themeColor="accent5" w:themeShade="BF"/>
        </w:rPr>
        <w:drawing>
          <wp:anchor distT="0" distB="0" distL="114300" distR="114300" simplePos="0" relativeHeight="251659264" behindDoc="1" locked="0" layoutInCell="1" allowOverlap="1" wp14:anchorId="0603F987" wp14:editId="3E92A213">
            <wp:simplePos x="0" y="0"/>
            <wp:positionH relativeFrom="margin">
              <wp:align>right</wp:align>
            </wp:positionH>
            <wp:positionV relativeFrom="paragraph">
              <wp:posOffset>192871</wp:posOffset>
            </wp:positionV>
            <wp:extent cx="1772405" cy="1435928"/>
            <wp:effectExtent l="0" t="0" r="0" b="0"/>
            <wp:wrapThrough wrapText="bothSides">
              <wp:wrapPolygon edited="0">
                <wp:start x="0" y="0"/>
                <wp:lineTo x="0" y="21208"/>
                <wp:lineTo x="21360" y="21208"/>
                <wp:lineTo x="2136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72405" cy="1435928"/>
                    </a:xfrm>
                    <a:prstGeom prst="rect">
                      <a:avLst/>
                    </a:prstGeom>
                    <a:noFill/>
                  </pic:spPr>
                </pic:pic>
              </a:graphicData>
            </a:graphic>
            <wp14:sizeRelH relativeFrom="margin">
              <wp14:pctWidth>0</wp14:pctWidth>
            </wp14:sizeRelH>
            <wp14:sizeRelV relativeFrom="margin">
              <wp14:pctHeight>0</wp14:pctHeight>
            </wp14:sizeRelV>
          </wp:anchor>
        </w:drawing>
      </w:r>
      <w:r w:rsidR="00D2741E" w:rsidRPr="00216555">
        <w:rPr>
          <w:b/>
          <w:bCs/>
        </w:rPr>
        <w:t xml:space="preserve">What are the major reasons why we concluded that the EU-28 is not an optimal currency area? </w:t>
      </w:r>
    </w:p>
    <w:p w14:paraId="44B7BA3F" w14:textId="7D4B63F5" w:rsidR="00D2741E" w:rsidRPr="00DD038A" w:rsidRDefault="00D2741E" w:rsidP="00D2741E">
      <w:pPr>
        <w:rPr>
          <w:color w:val="2E74B5" w:themeColor="accent5" w:themeShade="BF"/>
        </w:rPr>
      </w:pPr>
      <w:r w:rsidRPr="00DD038A">
        <w:rPr>
          <w:color w:val="2E74B5" w:themeColor="accent5" w:themeShade="BF"/>
        </w:rPr>
        <w:t xml:space="preserve">The economic costs of a MU are likely to be larger than the benefits for many countries. According to empirical studies, a large part of asymmetric shocks in the EU countries occurs at the sectoral level and not as much at the national level. Many of the changes in output are due to different developments between sectors. </w:t>
      </w:r>
    </w:p>
    <w:p w14:paraId="10414BE6" w14:textId="3EBF69D3" w:rsidR="00DD038A" w:rsidRPr="00DD038A" w:rsidRDefault="00D2741E" w:rsidP="008E121B">
      <w:pPr>
        <w:rPr>
          <w:color w:val="2E74B5" w:themeColor="accent5" w:themeShade="BF"/>
        </w:rPr>
      </w:pPr>
      <w:r w:rsidRPr="00DD038A">
        <w:rPr>
          <w:color w:val="2E74B5" w:themeColor="accent5" w:themeShade="BF"/>
        </w:rPr>
        <w:t>These shocks cannot be dealt with by exchange rate changes. The recent Eurozone crisis lends some cred</w:t>
      </w:r>
      <w:r w:rsidR="008E121B" w:rsidRPr="00DD038A">
        <w:rPr>
          <w:color w:val="2E74B5" w:themeColor="accent5" w:themeShade="BF"/>
        </w:rPr>
        <w:t>ibility</w:t>
      </w:r>
      <w:r w:rsidRPr="00DD038A">
        <w:rPr>
          <w:color w:val="2E74B5" w:themeColor="accent5" w:themeShade="BF"/>
        </w:rPr>
        <w:t xml:space="preserve"> to the that the present Eurozone is not an OCA and that </w:t>
      </w:r>
      <w:r w:rsidRPr="00DD038A">
        <w:rPr>
          <w:color w:val="2E74B5" w:themeColor="accent5" w:themeShade="BF"/>
        </w:rPr>
        <w:lastRenderedPageBreak/>
        <w:t>therefore the Eurozone should be put on the left of the OCA line. The major difference between the USA and the EU seems to be the degree of flexibility of labour markets. The real wages in Europe respond less to unemployment that those in the USA.</w:t>
      </w:r>
    </w:p>
    <w:p w14:paraId="20F90350" w14:textId="3E3DB678" w:rsidR="008E121B" w:rsidRPr="00705AFF" w:rsidRDefault="008E121B" w:rsidP="00216555">
      <w:pPr>
        <w:pStyle w:val="ListParagraph"/>
        <w:numPr>
          <w:ilvl w:val="0"/>
          <w:numId w:val="9"/>
        </w:numPr>
        <w:rPr>
          <w:b/>
          <w:bCs/>
        </w:rPr>
      </w:pPr>
      <w:r w:rsidRPr="00705AFF">
        <w:rPr>
          <w:b/>
          <w:bCs/>
        </w:rPr>
        <w:t>Explain why an increase in the asymmetry of shocks must lead to more labour market flexibility to make a monetary union attractive to its members.</w:t>
      </w:r>
    </w:p>
    <w:p w14:paraId="24B20A82" w14:textId="797585A1" w:rsidR="000766F4" w:rsidRPr="00DD038A" w:rsidRDefault="000766F4" w:rsidP="000766F4">
      <w:pPr>
        <w:rPr>
          <w:color w:val="2E74B5" w:themeColor="accent5" w:themeShade="BF"/>
        </w:rPr>
      </w:pPr>
      <w:r w:rsidRPr="00216555">
        <w:rPr>
          <w:b/>
          <w:bCs/>
          <w:color w:val="2E74B5" w:themeColor="accent5" w:themeShade="BF"/>
          <w:u w:val="single"/>
        </w:rPr>
        <w:t>Symmetry</w:t>
      </w:r>
      <w:r w:rsidRPr="00DD038A">
        <w:rPr>
          <w:color w:val="2E74B5" w:themeColor="accent5" w:themeShade="BF"/>
        </w:rPr>
        <w:t xml:space="preserve"> </w:t>
      </w:r>
      <w:r w:rsidR="00216555">
        <w:rPr>
          <w:color w:val="2E74B5" w:themeColor="accent5" w:themeShade="BF"/>
        </w:rPr>
        <w:t>=</w:t>
      </w:r>
      <w:r w:rsidRPr="00DD038A">
        <w:rPr>
          <w:color w:val="2E74B5" w:themeColor="accent5" w:themeShade="BF"/>
        </w:rPr>
        <w:t xml:space="preserve"> </w:t>
      </w:r>
      <w:r w:rsidRPr="00216555">
        <w:rPr>
          <w:b/>
          <w:bCs/>
          <w:color w:val="2E74B5" w:themeColor="accent5" w:themeShade="BF"/>
        </w:rPr>
        <w:t>degree to which output and employment growth are correlated.</w:t>
      </w:r>
      <w:r w:rsidRPr="00DD038A">
        <w:rPr>
          <w:color w:val="2E74B5" w:themeColor="accent5" w:themeShade="BF"/>
        </w:rPr>
        <w:t xml:space="preserve"> </w:t>
      </w:r>
    </w:p>
    <w:p w14:paraId="45BE25F3" w14:textId="77777777" w:rsidR="0029784C" w:rsidRDefault="00216555" w:rsidP="0029784C">
      <w:pPr>
        <w:spacing w:after="0"/>
        <w:rPr>
          <w:color w:val="2E74B5" w:themeColor="accent5" w:themeShade="BF"/>
        </w:rPr>
      </w:pPr>
      <w:r w:rsidRPr="00216555">
        <w:rPr>
          <w:b/>
          <w:bCs/>
          <w:color w:val="2E74B5" w:themeColor="accent5" w:themeShade="BF"/>
          <w:u w:val="single"/>
        </w:rPr>
        <w:t xml:space="preserve">OCA </w:t>
      </w:r>
      <w:r w:rsidR="000766F4" w:rsidRPr="00216555">
        <w:rPr>
          <w:b/>
          <w:bCs/>
          <w:color w:val="2E74B5" w:themeColor="accent5" w:themeShade="BF"/>
          <w:u w:val="single"/>
        </w:rPr>
        <w:t>theory</w:t>
      </w:r>
      <w:r w:rsidR="000766F4" w:rsidRPr="00DD038A">
        <w:rPr>
          <w:color w:val="2E74B5" w:themeColor="accent5" w:themeShade="BF"/>
        </w:rPr>
        <w:t xml:space="preserve"> </w:t>
      </w:r>
      <w:r>
        <w:rPr>
          <w:color w:val="2E74B5" w:themeColor="accent5" w:themeShade="BF"/>
        </w:rPr>
        <w:t xml:space="preserve">= </w:t>
      </w:r>
      <w:r w:rsidR="000766F4" w:rsidRPr="00DD038A">
        <w:rPr>
          <w:color w:val="2E74B5" w:themeColor="accent5" w:themeShade="BF"/>
        </w:rPr>
        <w:t xml:space="preserve">countries that experience </w:t>
      </w:r>
      <w:r w:rsidR="0029784C">
        <w:rPr>
          <w:color w:val="2E74B5" w:themeColor="accent5" w:themeShade="BF"/>
        </w:rPr>
        <w:t>many</w:t>
      </w:r>
      <w:r w:rsidR="000766F4" w:rsidRPr="00DD038A">
        <w:rPr>
          <w:color w:val="2E74B5" w:themeColor="accent5" w:themeShade="BF"/>
        </w:rPr>
        <w:t xml:space="preserve"> asymmetries in output </w:t>
      </w:r>
      <w:r w:rsidR="0029784C">
        <w:rPr>
          <w:color w:val="2E74B5" w:themeColor="accent5" w:themeShade="BF"/>
        </w:rPr>
        <w:t>&amp;</w:t>
      </w:r>
      <w:r w:rsidR="000766F4" w:rsidRPr="00DD038A">
        <w:rPr>
          <w:color w:val="2E74B5" w:themeColor="accent5" w:themeShade="BF"/>
        </w:rPr>
        <w:t xml:space="preserve"> employment growth need more flexibility in their labour markets if they want to benefit from MU </w:t>
      </w:r>
      <w:r w:rsidR="0029784C">
        <w:rPr>
          <w:color w:val="2E74B5" w:themeColor="accent5" w:themeShade="BF"/>
        </w:rPr>
        <w:t>&amp;</w:t>
      </w:r>
      <w:r w:rsidR="000766F4" w:rsidRPr="00DD038A">
        <w:rPr>
          <w:color w:val="2E74B5" w:themeColor="accent5" w:themeShade="BF"/>
        </w:rPr>
        <w:t xml:space="preserve"> avoid adjustment problems. </w:t>
      </w:r>
    </w:p>
    <w:p w14:paraId="05C8FDF1" w14:textId="4489F63F" w:rsidR="000766F4" w:rsidRPr="00DD038A" w:rsidRDefault="000766F4" w:rsidP="008E121B">
      <w:pPr>
        <w:rPr>
          <w:color w:val="2E74B5" w:themeColor="accent5" w:themeShade="BF"/>
        </w:rPr>
      </w:pPr>
      <w:r w:rsidRPr="00DD038A">
        <w:rPr>
          <w:color w:val="2E74B5" w:themeColor="accent5" w:themeShade="BF"/>
        </w:rPr>
        <w:t xml:space="preserve">A </w:t>
      </w:r>
      <w:r w:rsidRPr="0029784C">
        <w:rPr>
          <w:b/>
          <w:bCs/>
          <w:color w:val="2E74B5" w:themeColor="accent5" w:themeShade="BF"/>
        </w:rPr>
        <w:t>centralized wage bargaining system</w:t>
      </w:r>
      <w:r w:rsidRPr="00DD038A">
        <w:rPr>
          <w:color w:val="2E74B5" w:themeColor="accent5" w:themeShade="BF"/>
        </w:rPr>
        <w:t xml:space="preserve"> would be very </w:t>
      </w:r>
      <w:r w:rsidRPr="0029784C">
        <w:rPr>
          <w:b/>
          <w:bCs/>
          <w:color w:val="2E74B5" w:themeColor="accent5" w:themeShade="BF"/>
        </w:rPr>
        <w:t>detrimental</w:t>
      </w:r>
      <w:r w:rsidRPr="00DD038A">
        <w:rPr>
          <w:color w:val="2E74B5" w:themeColor="accent5" w:themeShade="BF"/>
        </w:rPr>
        <w:t xml:space="preserve"> to output </w:t>
      </w:r>
      <w:r w:rsidR="0029784C">
        <w:rPr>
          <w:color w:val="2E74B5" w:themeColor="accent5" w:themeShade="BF"/>
        </w:rPr>
        <w:t>&amp;</w:t>
      </w:r>
      <w:r w:rsidRPr="00DD038A">
        <w:rPr>
          <w:color w:val="2E74B5" w:themeColor="accent5" w:themeShade="BF"/>
        </w:rPr>
        <w:t xml:space="preserve"> employment in sectors that experience less favourable developments.</w:t>
      </w:r>
    </w:p>
    <w:p w14:paraId="336F60DC" w14:textId="53C69D0C" w:rsidR="008E121B" w:rsidRPr="00DD038A" w:rsidRDefault="008E121B" w:rsidP="008E121B">
      <w:pPr>
        <w:rPr>
          <w:color w:val="2E74B5" w:themeColor="accent5" w:themeShade="BF"/>
        </w:rPr>
      </w:pPr>
      <w:r w:rsidRPr="00216555">
        <w:rPr>
          <w:b/>
          <w:bCs/>
          <w:color w:val="2E74B5" w:themeColor="accent5" w:themeShade="BF"/>
          <w:u w:val="single"/>
        </w:rPr>
        <w:t xml:space="preserve">Mundell </w:t>
      </w:r>
      <w:r w:rsidR="000766F4" w:rsidRPr="00216555">
        <w:rPr>
          <w:b/>
          <w:bCs/>
          <w:color w:val="2E74B5" w:themeColor="accent5" w:themeShade="BF"/>
          <w:u w:val="single"/>
        </w:rPr>
        <w:t>trade-off</w:t>
      </w:r>
      <w:r w:rsidRPr="00DD038A">
        <w:rPr>
          <w:b/>
          <w:bCs/>
          <w:color w:val="2E74B5" w:themeColor="accent5" w:themeShade="BF"/>
        </w:rPr>
        <w:t>:</w:t>
      </w:r>
      <w:r w:rsidR="00216555">
        <w:rPr>
          <w:color w:val="2E74B5" w:themeColor="accent5" w:themeShade="BF"/>
        </w:rPr>
        <w:t xml:space="preserve"> </w:t>
      </w:r>
      <w:r w:rsidRPr="00DD038A">
        <w:rPr>
          <w:color w:val="2E74B5" w:themeColor="accent5" w:themeShade="BF"/>
        </w:rPr>
        <w:t>low degree of symmetry in output growth needs to be compensated by lot of flexibility for a MU to be beneficial for a region</w:t>
      </w:r>
      <w:r w:rsidR="000766F4" w:rsidRPr="00DD038A">
        <w:rPr>
          <w:color w:val="2E74B5" w:themeColor="accent5" w:themeShade="BF"/>
        </w:rPr>
        <w:t>.</w:t>
      </w:r>
    </w:p>
    <w:p w14:paraId="5049B6E3" w14:textId="77777777" w:rsidR="000766F4" w:rsidRPr="00705AFF" w:rsidRDefault="000766F4" w:rsidP="00216555">
      <w:pPr>
        <w:pStyle w:val="ListParagraph"/>
        <w:numPr>
          <w:ilvl w:val="0"/>
          <w:numId w:val="9"/>
        </w:numPr>
        <w:rPr>
          <w:b/>
          <w:bCs/>
        </w:rPr>
      </w:pPr>
      <w:r w:rsidRPr="00705AFF">
        <w:rPr>
          <w:b/>
          <w:bCs/>
        </w:rPr>
        <w:t>Why would a cost-benefit calculus of being in the eurozone lead to very different results for the different member countries?</w:t>
      </w:r>
    </w:p>
    <w:p w14:paraId="768CAE4D" w14:textId="4C3C8D91" w:rsidR="000766F4" w:rsidRPr="00DD038A" w:rsidRDefault="000766F4" w:rsidP="000766F4">
      <w:pPr>
        <w:rPr>
          <w:color w:val="2E74B5" w:themeColor="accent5" w:themeShade="BF"/>
        </w:rPr>
      </w:pPr>
      <w:r w:rsidRPr="00DD038A">
        <w:rPr>
          <w:color w:val="2E74B5" w:themeColor="accent5" w:themeShade="BF"/>
        </w:rPr>
        <w:t>Some countries with a low trade share may still find it advantageous to be in a MU.</w:t>
      </w:r>
      <w:r w:rsidR="003909CE" w:rsidRPr="00DD038A">
        <w:rPr>
          <w:color w:val="2E74B5" w:themeColor="accent5" w:themeShade="BF"/>
        </w:rPr>
        <w:t xml:space="preserve"> O</w:t>
      </w:r>
      <w:r w:rsidRPr="00DD038A">
        <w:rPr>
          <w:color w:val="2E74B5" w:themeColor="accent5" w:themeShade="BF"/>
        </w:rPr>
        <w:t xml:space="preserve">ne could argue that for countries with low degrees of openness, the benefits could still outweigh the costs and being in a MU could also make a sense for them from an economic point of view. </w:t>
      </w:r>
    </w:p>
    <w:p w14:paraId="64F67860" w14:textId="77777777" w:rsidR="00705AFF" w:rsidRPr="00DD038A" w:rsidRDefault="000766F4" w:rsidP="00705AFF">
      <w:pPr>
        <w:rPr>
          <w:color w:val="2E74B5" w:themeColor="accent5" w:themeShade="BF"/>
        </w:rPr>
      </w:pPr>
      <w:r w:rsidRPr="00DD038A">
        <w:rPr>
          <w:color w:val="2E74B5" w:themeColor="accent5" w:themeShade="BF"/>
        </w:rPr>
        <w:t>Countries in which the degree of wage and price rigidities is low</w:t>
      </w:r>
      <w:r w:rsidR="003909CE" w:rsidRPr="00DD038A">
        <w:rPr>
          <w:color w:val="2E74B5" w:themeColor="accent5" w:themeShade="BF"/>
        </w:rPr>
        <w:t>,</w:t>
      </w:r>
      <w:r w:rsidRPr="00DD038A">
        <w:rPr>
          <w:color w:val="2E74B5" w:themeColor="accent5" w:themeShade="BF"/>
        </w:rPr>
        <w:t xml:space="preserve"> experience lower costs when they move towards a MU. Also, asymmetric shocks determine w</w:t>
      </w:r>
      <w:r w:rsidR="003909CE" w:rsidRPr="00DD038A">
        <w:rPr>
          <w:color w:val="2E74B5" w:themeColor="accent5" w:themeShade="BF"/>
        </w:rPr>
        <w:t>hich</w:t>
      </w:r>
      <w:r w:rsidRPr="00DD038A">
        <w:rPr>
          <w:color w:val="2E74B5" w:themeColor="accent5" w:themeShade="BF"/>
        </w:rPr>
        <w:t xml:space="preserve"> countries</w:t>
      </w:r>
      <w:r w:rsidR="003909CE" w:rsidRPr="00DD038A">
        <w:rPr>
          <w:color w:val="2E74B5" w:themeColor="accent5" w:themeShade="BF"/>
        </w:rPr>
        <w:t xml:space="preserve"> are</w:t>
      </w:r>
      <w:r w:rsidRPr="00DD038A">
        <w:rPr>
          <w:color w:val="2E74B5" w:themeColor="accent5" w:themeShade="BF"/>
        </w:rPr>
        <w:t xml:space="preserve"> subjected to costs and benefits. Countries that experience very different demand and supply shocks will find it more costly to form a MU. The cost line shifts to the right. The lower the degree of symmetry, the higher the need for flexibility in labour markets to make a smoothly functioning MU possible</w:t>
      </w:r>
      <w:r w:rsidR="003909CE" w:rsidRPr="00DD038A">
        <w:rPr>
          <w:color w:val="2E74B5" w:themeColor="accent5" w:themeShade="BF"/>
        </w:rPr>
        <w:t xml:space="preserve">. </w:t>
      </w:r>
    </w:p>
    <w:p w14:paraId="6A3DF525" w14:textId="10E965E3" w:rsidR="003909CE" w:rsidRPr="00705AFF" w:rsidRDefault="003909CE" w:rsidP="00216555">
      <w:pPr>
        <w:pStyle w:val="ListParagraph"/>
        <w:numPr>
          <w:ilvl w:val="0"/>
          <w:numId w:val="9"/>
        </w:numPr>
        <w:rPr>
          <w:b/>
          <w:bCs/>
        </w:rPr>
      </w:pPr>
      <w:r w:rsidRPr="00705AFF">
        <w:rPr>
          <w:b/>
          <w:bCs/>
        </w:rPr>
        <w:t>Why is it unlikely that the EU-28 is an optimal currency area? How could the EU-28 become an optimal currency area?</w:t>
      </w:r>
    </w:p>
    <w:p w14:paraId="4C6A7CFD" w14:textId="4D62FFAA" w:rsidR="003909CE" w:rsidRPr="00DD038A" w:rsidRDefault="003909CE" w:rsidP="003909CE">
      <w:pPr>
        <w:rPr>
          <w:color w:val="2E74B5" w:themeColor="accent5" w:themeShade="BF"/>
        </w:rPr>
      </w:pPr>
      <w:r w:rsidRPr="00DD038A">
        <w:rPr>
          <w:color w:val="2E74B5" w:themeColor="accent5" w:themeShade="BF"/>
        </w:rPr>
        <w:t>The economic costs of a MU are likely to be larger than the benefits for many countries. According to empirical studies, a large part of asymmetric shocks in the EU countries occurs at the sectoral level and not as much at the national level. Many of the changes in output are due to different developments between sectors.</w:t>
      </w:r>
    </w:p>
    <w:p w14:paraId="559D4556" w14:textId="77777777" w:rsidR="00E6793C" w:rsidRPr="00DD038A" w:rsidRDefault="003909CE" w:rsidP="003909CE">
      <w:pPr>
        <w:rPr>
          <w:color w:val="2E74B5" w:themeColor="accent5" w:themeShade="BF"/>
        </w:rPr>
      </w:pPr>
      <w:r w:rsidRPr="00DD038A">
        <w:rPr>
          <w:color w:val="2E74B5" w:themeColor="accent5" w:themeShade="BF"/>
        </w:rPr>
        <w:t>These shocks cannot be dealt with by exchange rate changes. The recent Eurozone crisis lends some credibility to the that the present Eurozone is not an OCA and that therefore the Eurozone should be put on the left of the OCA line. The major difference between the USA and the EU seems to be the degree of flexibility of labour markets. The real wages in Europe respond less to unemployment that those in the USA. The challenge for the EU-28 is to move into the OCA zone is to make a MU less costly. There are two strategies to achieve this</w:t>
      </w:r>
      <w:r w:rsidR="00E6793C" w:rsidRPr="00DD038A">
        <w:rPr>
          <w:color w:val="2E74B5" w:themeColor="accent5" w:themeShade="BF"/>
        </w:rPr>
        <w:t xml:space="preserve">. </w:t>
      </w:r>
      <w:r w:rsidRPr="00DD038A">
        <w:rPr>
          <w:color w:val="2E74B5" w:themeColor="accent5" w:themeShade="BF"/>
        </w:rPr>
        <w:t xml:space="preserve"> </w:t>
      </w:r>
    </w:p>
    <w:p w14:paraId="2964B4D7" w14:textId="77777777" w:rsidR="00705AFF" w:rsidRPr="00DD038A" w:rsidRDefault="00E6793C" w:rsidP="00705AFF">
      <w:pPr>
        <w:rPr>
          <w:color w:val="2E74B5" w:themeColor="accent5" w:themeShade="BF"/>
        </w:rPr>
      </w:pPr>
      <w:r w:rsidRPr="00DD038A">
        <w:rPr>
          <w:color w:val="2E74B5" w:themeColor="accent5" w:themeShade="BF"/>
        </w:rPr>
        <w:t xml:space="preserve">Firstly, to </w:t>
      </w:r>
      <w:r w:rsidR="003909CE" w:rsidRPr="00DD038A">
        <w:rPr>
          <w:color w:val="2E74B5" w:themeColor="accent5" w:themeShade="BF"/>
        </w:rPr>
        <w:t>reduce the degree of asymmetry of shocks</w:t>
      </w:r>
      <w:r w:rsidRPr="00DD038A">
        <w:rPr>
          <w:color w:val="2E74B5" w:themeColor="accent5" w:themeShade="BF"/>
        </w:rPr>
        <w:t xml:space="preserve">. This is difficult because the degree of asymmetry is dependent on factors over which police makers have little influence. To reduce asymmetric shocks, more political unity is needed. There needs to be more economic policy coordination and institutional streamlining. Secondly, another strategy would be to increase the level of labour flexibility, and thus, reform market labour institutions. </w:t>
      </w:r>
    </w:p>
    <w:p w14:paraId="3B5E961B" w14:textId="0F2213F7" w:rsidR="00E6793C" w:rsidRPr="00705AFF" w:rsidRDefault="00E6793C" w:rsidP="00216555">
      <w:pPr>
        <w:pStyle w:val="ListParagraph"/>
        <w:numPr>
          <w:ilvl w:val="0"/>
          <w:numId w:val="9"/>
        </w:numPr>
        <w:rPr>
          <w:b/>
          <w:bCs/>
        </w:rPr>
      </w:pPr>
      <w:r w:rsidRPr="00705AFF">
        <w:rPr>
          <w:b/>
          <w:bCs/>
        </w:rPr>
        <w:t>Is there much evidence in favour of the endogeneity hypothesis of a monetary union? Explain for the case of the eurozone.</w:t>
      </w:r>
    </w:p>
    <w:p w14:paraId="2C4B2364" w14:textId="3EAD38DC" w:rsidR="00E6793C" w:rsidRPr="00DD038A" w:rsidRDefault="00E6793C" w:rsidP="00E6793C">
      <w:pPr>
        <w:rPr>
          <w:color w:val="2E74B5" w:themeColor="accent5" w:themeShade="BF"/>
        </w:rPr>
      </w:pPr>
      <w:r w:rsidRPr="00DD038A">
        <w:rPr>
          <w:color w:val="2E74B5" w:themeColor="accent5" w:themeShade="BF"/>
        </w:rPr>
        <w:t xml:space="preserve">The process of integration </w:t>
      </w:r>
      <w:r w:rsidR="004F6551" w:rsidRPr="00DD038A">
        <w:rPr>
          <w:color w:val="2E74B5" w:themeColor="accent5" w:themeShade="BF"/>
        </w:rPr>
        <w:t xml:space="preserve">is faster through a monetary union, thus moving faster into the OCA ZONE. Therefore, there </w:t>
      </w:r>
      <w:r w:rsidRPr="00DD038A">
        <w:rPr>
          <w:color w:val="2E74B5" w:themeColor="accent5" w:themeShade="BF"/>
        </w:rPr>
        <w:t>is an endogenous component in the criteria of an optimal currency area</w:t>
      </w:r>
      <w:r w:rsidR="004F6551" w:rsidRPr="00DD038A">
        <w:rPr>
          <w:color w:val="2E74B5" w:themeColor="accent5" w:themeShade="BF"/>
        </w:rPr>
        <w:t xml:space="preserve"> - when</w:t>
      </w:r>
      <w:r w:rsidRPr="00DD038A">
        <w:rPr>
          <w:color w:val="2E74B5" w:themeColor="accent5" w:themeShade="BF"/>
        </w:rPr>
        <w:t xml:space="preserve"> countries decide to form a MU, the criteria </w:t>
      </w:r>
      <w:r w:rsidR="004F6551" w:rsidRPr="00DD038A">
        <w:rPr>
          <w:color w:val="2E74B5" w:themeColor="accent5" w:themeShade="BF"/>
        </w:rPr>
        <w:t xml:space="preserve">becomes </w:t>
      </w:r>
      <w:r w:rsidRPr="00DD038A">
        <w:rPr>
          <w:color w:val="2E74B5" w:themeColor="accent5" w:themeShade="BF"/>
        </w:rPr>
        <w:t>more favourable</w:t>
      </w:r>
      <w:r w:rsidR="004F6551" w:rsidRPr="00DD038A">
        <w:rPr>
          <w:color w:val="2E74B5" w:themeColor="accent5" w:themeShade="BF"/>
        </w:rPr>
        <w:t xml:space="preserve"> and r</w:t>
      </w:r>
      <w:r w:rsidRPr="00DD038A">
        <w:rPr>
          <w:color w:val="2E74B5" w:themeColor="accent5" w:themeShade="BF"/>
        </w:rPr>
        <w:t>educ</w:t>
      </w:r>
      <w:r w:rsidR="004F6551" w:rsidRPr="00DD038A">
        <w:rPr>
          <w:color w:val="2E74B5" w:themeColor="accent5" w:themeShade="BF"/>
        </w:rPr>
        <w:t>es</w:t>
      </w:r>
      <w:r w:rsidRPr="00DD038A">
        <w:rPr>
          <w:color w:val="2E74B5" w:themeColor="accent5" w:themeShade="BF"/>
        </w:rPr>
        <w:t xml:space="preserve"> the costs relative to the benefits</w:t>
      </w:r>
      <w:r w:rsidR="004F6551" w:rsidRPr="00DD038A">
        <w:rPr>
          <w:color w:val="2E74B5" w:themeColor="accent5" w:themeShade="BF"/>
        </w:rPr>
        <w:t xml:space="preserve">. </w:t>
      </w:r>
    </w:p>
    <w:p w14:paraId="571893CF" w14:textId="6D97B4B4" w:rsidR="004F6551" w:rsidRPr="00DD038A" w:rsidRDefault="00E6793C" w:rsidP="00E6793C">
      <w:pPr>
        <w:rPr>
          <w:color w:val="2E74B5" w:themeColor="accent5" w:themeShade="BF"/>
        </w:rPr>
      </w:pPr>
      <w:r w:rsidRPr="00DD038A">
        <w:rPr>
          <w:color w:val="2E74B5" w:themeColor="accent5" w:themeShade="BF"/>
        </w:rPr>
        <w:t>For the Eurozone</w:t>
      </w:r>
      <w:r w:rsidR="004F6551" w:rsidRPr="00DD038A">
        <w:rPr>
          <w:color w:val="2E74B5" w:themeColor="accent5" w:themeShade="BF"/>
        </w:rPr>
        <w:t xml:space="preserve">, there are </w:t>
      </w:r>
      <w:r w:rsidR="00705AFF" w:rsidRPr="00DD038A">
        <w:rPr>
          <w:b/>
          <w:bCs/>
          <w:color w:val="2E74B5" w:themeColor="accent5" w:themeShade="BF"/>
        </w:rPr>
        <w:t>3</w:t>
      </w:r>
      <w:r w:rsidRPr="00DD038A">
        <w:rPr>
          <w:b/>
          <w:bCs/>
          <w:color w:val="2E74B5" w:themeColor="accent5" w:themeShade="BF"/>
        </w:rPr>
        <w:t xml:space="preserve"> OCA criteria</w:t>
      </w:r>
      <w:r w:rsidR="004F6551" w:rsidRPr="00DD038A">
        <w:rPr>
          <w:color w:val="2E74B5" w:themeColor="accent5" w:themeShade="BF"/>
        </w:rPr>
        <w:t xml:space="preserve"> that</w:t>
      </w:r>
      <w:r w:rsidRPr="00DD038A">
        <w:rPr>
          <w:color w:val="2E74B5" w:themeColor="accent5" w:themeShade="BF"/>
        </w:rPr>
        <w:t xml:space="preserve"> have been considered</w:t>
      </w:r>
      <w:r w:rsidR="004F6551" w:rsidRPr="00DD038A">
        <w:rPr>
          <w:color w:val="2E74B5" w:themeColor="accent5" w:themeShade="BF"/>
        </w:rPr>
        <w:t xml:space="preserve">: </w:t>
      </w:r>
      <w:r w:rsidRPr="00DD038A">
        <w:rPr>
          <w:color w:val="2E74B5" w:themeColor="accent5" w:themeShade="BF"/>
        </w:rPr>
        <w:t xml:space="preserve">economic </w:t>
      </w:r>
      <w:r w:rsidRPr="00DD038A">
        <w:rPr>
          <w:b/>
          <w:bCs/>
          <w:color w:val="2E74B5" w:themeColor="accent5" w:themeShade="BF"/>
        </w:rPr>
        <w:t xml:space="preserve">integration, symmetry </w:t>
      </w:r>
      <w:r w:rsidR="00DD038A" w:rsidRPr="00DD038A">
        <w:rPr>
          <w:b/>
          <w:bCs/>
          <w:color w:val="2E74B5" w:themeColor="accent5" w:themeShade="BF"/>
        </w:rPr>
        <w:t>&amp;</w:t>
      </w:r>
      <w:r w:rsidRPr="00DD038A">
        <w:rPr>
          <w:b/>
          <w:bCs/>
          <w:color w:val="2E74B5" w:themeColor="accent5" w:themeShade="BF"/>
        </w:rPr>
        <w:t xml:space="preserve"> flexibility</w:t>
      </w:r>
      <w:r w:rsidRPr="00DD038A">
        <w:rPr>
          <w:color w:val="2E74B5" w:themeColor="accent5" w:themeShade="BF"/>
        </w:rPr>
        <w:t>.</w:t>
      </w:r>
    </w:p>
    <w:p w14:paraId="65D997DA" w14:textId="77777777" w:rsidR="004F6551" w:rsidRPr="00DD038A" w:rsidRDefault="004F6551" w:rsidP="004F6551">
      <w:pPr>
        <w:rPr>
          <w:color w:val="2E74B5" w:themeColor="accent5" w:themeShade="BF"/>
        </w:rPr>
      </w:pPr>
      <w:r w:rsidRPr="00DD038A">
        <w:rPr>
          <w:color w:val="2E74B5" w:themeColor="accent5" w:themeShade="BF"/>
        </w:rPr>
        <w:lastRenderedPageBreak/>
        <w:t>The i</w:t>
      </w:r>
      <w:r w:rsidR="00E6793C" w:rsidRPr="00DD038A">
        <w:rPr>
          <w:color w:val="2E74B5" w:themeColor="accent5" w:themeShade="BF"/>
        </w:rPr>
        <w:t xml:space="preserve">ntegration criterion </w:t>
      </w:r>
      <w:r w:rsidRPr="00DD038A">
        <w:rPr>
          <w:color w:val="2E74B5" w:themeColor="accent5" w:themeShade="BF"/>
        </w:rPr>
        <w:t>hasn’t done much in br</w:t>
      </w:r>
      <w:r w:rsidR="00E6793C" w:rsidRPr="00DD038A">
        <w:rPr>
          <w:color w:val="2E74B5" w:themeColor="accent5" w:themeShade="BF"/>
        </w:rPr>
        <w:t xml:space="preserve">inging the member countries closer to the OCA zone. </w:t>
      </w:r>
      <w:r w:rsidRPr="00DD038A">
        <w:rPr>
          <w:color w:val="2E74B5" w:themeColor="accent5" w:themeShade="BF"/>
        </w:rPr>
        <w:t xml:space="preserve"> </w:t>
      </w:r>
      <w:r w:rsidR="00E6793C" w:rsidRPr="00DD038A">
        <w:rPr>
          <w:color w:val="2E74B5" w:themeColor="accent5" w:themeShade="BF"/>
        </w:rPr>
        <w:t xml:space="preserve">Secondly, the degree of correlation of business cycle movements may have increased since the start of the Eurozone. </w:t>
      </w:r>
      <w:r w:rsidRPr="00DD038A">
        <w:rPr>
          <w:color w:val="2E74B5" w:themeColor="accent5" w:themeShade="BF"/>
        </w:rPr>
        <w:t xml:space="preserve">Thirdly, flexibility and there has been a significant increase in labour market flexibility. </w:t>
      </w:r>
    </w:p>
    <w:p w14:paraId="0DD76D4B" w14:textId="5B1BD15A" w:rsidR="004F6551" w:rsidRPr="00DD038A" w:rsidRDefault="004F6551" w:rsidP="00E6793C">
      <w:pPr>
        <w:rPr>
          <w:color w:val="2E74B5" w:themeColor="accent5" w:themeShade="BF"/>
        </w:rPr>
      </w:pPr>
      <w:r w:rsidRPr="00DD038A">
        <w:rPr>
          <w:color w:val="2E74B5" w:themeColor="accent5" w:themeShade="BF"/>
        </w:rPr>
        <w:t xml:space="preserve">To conclude, the endogenous component in the OCA received mixed support. </w:t>
      </w:r>
      <w:r w:rsidR="00742322" w:rsidRPr="00DD038A">
        <w:rPr>
          <w:color w:val="2E74B5" w:themeColor="accent5" w:themeShade="BF"/>
        </w:rPr>
        <w:t xml:space="preserve">The integration coefficient does not show much evidence of moving in the right direction while the flexibility criterion seems to be moving in the OCA direction. As far as asymmetry criterion is concerned there seems to be evidence that symmetry may have increased. </w:t>
      </w:r>
    </w:p>
    <w:p w14:paraId="553B604E" w14:textId="02DF6E72" w:rsidR="00742322" w:rsidRPr="00DD038A" w:rsidRDefault="00742322" w:rsidP="00216555">
      <w:pPr>
        <w:pStyle w:val="ListParagraph"/>
        <w:numPr>
          <w:ilvl w:val="0"/>
          <w:numId w:val="9"/>
        </w:numPr>
        <w:rPr>
          <w:b/>
          <w:bCs/>
        </w:rPr>
      </w:pPr>
      <w:r w:rsidRPr="00DD038A">
        <w:rPr>
          <w:b/>
          <w:bCs/>
        </w:rPr>
        <w:t xml:space="preserve">Is Latin America an OCA? Explain. </w:t>
      </w:r>
    </w:p>
    <w:p w14:paraId="1AF64F46" w14:textId="6CCD562B" w:rsidR="00742322" w:rsidRPr="00DD038A" w:rsidRDefault="00742322" w:rsidP="00742322">
      <w:pPr>
        <w:rPr>
          <w:color w:val="2E74B5" w:themeColor="accent5" w:themeShade="BF"/>
        </w:rPr>
      </w:pPr>
      <w:r w:rsidRPr="00DD038A">
        <w:rPr>
          <w:color w:val="2E74B5" w:themeColor="accent5" w:themeShade="BF"/>
        </w:rPr>
        <w:t xml:space="preserve">Optimum currency area theory (OCA) states that specific areas that are not bounded by national borders would benefit from a common currency. Based on the traditional OCA criteria, there is no evidence of monetary integration in Latin America, not even at a sub-regional level. </w:t>
      </w:r>
    </w:p>
    <w:p w14:paraId="7FC1CD69" w14:textId="4EE71BB5" w:rsidR="00742322" w:rsidRPr="00DD038A" w:rsidRDefault="00742322" w:rsidP="00742322">
      <w:pPr>
        <w:rPr>
          <w:color w:val="2E74B5" w:themeColor="accent5" w:themeShade="BF"/>
        </w:rPr>
      </w:pPr>
      <w:r w:rsidRPr="00DD038A">
        <w:rPr>
          <w:color w:val="2E74B5" w:themeColor="accent5" w:themeShade="BF"/>
        </w:rPr>
        <w:t>Latin American countries have a low degree of trade integration and asymmetry among their shocks. There are also important differences in their speed of adjustment to the shocks. Higher policy coordination seems to be necessary before starting any economic integration process in Latin America.</w:t>
      </w:r>
    </w:p>
    <w:p w14:paraId="6AD507D7" w14:textId="089690A7" w:rsidR="00A75CA2" w:rsidRPr="00DD038A" w:rsidRDefault="00742322" w:rsidP="00742322">
      <w:pPr>
        <w:rPr>
          <w:color w:val="2E74B5" w:themeColor="accent5" w:themeShade="BF"/>
        </w:rPr>
      </w:pPr>
      <w:r w:rsidRPr="00DD038A">
        <w:rPr>
          <w:color w:val="2E74B5" w:themeColor="accent5" w:themeShade="BF"/>
        </w:rPr>
        <w:t>Latin America has experienced a lot of monetary instability. High inflation and large exchange rate variability have negatively affected economic growth and welfare. These countries</w:t>
      </w:r>
      <w:r w:rsidR="00A75CA2" w:rsidRPr="00DD038A">
        <w:rPr>
          <w:color w:val="2E74B5" w:themeColor="accent5" w:themeShade="BF"/>
        </w:rPr>
        <w:t xml:space="preserve"> also have a low intra-regional trade, although trade openness as a regional is relatively high – they trade with the </w:t>
      </w:r>
      <w:r w:rsidR="00B41C1A">
        <w:rPr>
          <w:color w:val="2E74B5" w:themeColor="accent5" w:themeShade="BF"/>
        </w:rPr>
        <w:t xml:space="preserve">c </w:t>
      </w:r>
      <w:r w:rsidR="00A75CA2" w:rsidRPr="00DD038A">
        <w:rPr>
          <w:color w:val="2E74B5" w:themeColor="accent5" w:themeShade="BF"/>
        </w:rPr>
        <w:t xml:space="preserve">US but not among themselves. </w:t>
      </w:r>
    </w:p>
    <w:p w14:paraId="509CB453" w14:textId="484D0321" w:rsidR="00742322" w:rsidRPr="00DD038A" w:rsidRDefault="00742322" w:rsidP="00742322">
      <w:pPr>
        <w:rPr>
          <w:color w:val="2E74B5" w:themeColor="accent5" w:themeShade="BF"/>
        </w:rPr>
      </w:pPr>
      <w:r w:rsidRPr="00DD038A">
        <w:rPr>
          <w:color w:val="2E74B5" w:themeColor="accent5" w:themeShade="BF"/>
        </w:rPr>
        <w:t>Asymmetry of shocks: the degree of synchronization of output movements is low in LA, and t</w:t>
      </w:r>
      <w:r w:rsidR="00A75CA2" w:rsidRPr="00DD038A">
        <w:rPr>
          <w:color w:val="2E74B5" w:themeColor="accent5" w:themeShade="BF"/>
        </w:rPr>
        <w:t xml:space="preserve">herefore </w:t>
      </w:r>
      <w:r w:rsidRPr="00DD038A">
        <w:rPr>
          <w:color w:val="2E74B5" w:themeColor="accent5" w:themeShade="BF"/>
        </w:rPr>
        <w:t>asymmetric shocks are relatively large.</w:t>
      </w:r>
      <w:r w:rsidR="00A75CA2" w:rsidRPr="00DD038A">
        <w:rPr>
          <w:color w:val="2E74B5" w:themeColor="accent5" w:themeShade="BF"/>
        </w:rPr>
        <w:t xml:space="preserve"> In addition, their labour markets are segments which reduces</w:t>
      </w:r>
      <w:r w:rsidRPr="00DD038A">
        <w:rPr>
          <w:color w:val="2E74B5" w:themeColor="accent5" w:themeShade="BF"/>
        </w:rPr>
        <w:t xml:space="preserve"> the scope for adjustment to asymmetric </w:t>
      </w:r>
      <w:r w:rsidR="00A75CA2" w:rsidRPr="00DD038A">
        <w:rPr>
          <w:color w:val="2E74B5" w:themeColor="accent5" w:themeShade="BF"/>
        </w:rPr>
        <w:t>shocks. There</w:t>
      </w:r>
      <w:r w:rsidRPr="00DD038A">
        <w:rPr>
          <w:color w:val="2E74B5" w:themeColor="accent5" w:themeShade="BF"/>
        </w:rPr>
        <w:t xml:space="preserve"> is also the lack of credibility that the institutions in a LA monetary union would have in case of a MU.</w:t>
      </w:r>
    </w:p>
    <w:p w14:paraId="7B050F4B" w14:textId="229F1A1E" w:rsidR="00A75CA2" w:rsidRPr="00DD038A" w:rsidRDefault="00A75CA2" w:rsidP="00216555">
      <w:pPr>
        <w:pStyle w:val="ListParagraph"/>
        <w:numPr>
          <w:ilvl w:val="0"/>
          <w:numId w:val="9"/>
        </w:numPr>
        <w:rPr>
          <w:b/>
          <w:bCs/>
        </w:rPr>
      </w:pPr>
      <w:r w:rsidRPr="00DD038A">
        <w:rPr>
          <w:b/>
          <w:bCs/>
        </w:rPr>
        <w:t xml:space="preserve">Does East-Asia form an OCA? Explain </w:t>
      </w:r>
    </w:p>
    <w:p w14:paraId="1294772D" w14:textId="2D399A9E" w:rsidR="00A75CA2" w:rsidRPr="00DD038A" w:rsidRDefault="00A75CA2" w:rsidP="00A75CA2">
      <w:pPr>
        <w:rPr>
          <w:color w:val="2E74B5" w:themeColor="accent5" w:themeShade="BF"/>
        </w:rPr>
      </w:pPr>
      <w:r w:rsidRPr="00DD038A">
        <w:rPr>
          <w:color w:val="2E74B5" w:themeColor="accent5" w:themeShade="BF"/>
        </w:rPr>
        <w:t>East Asia seems to be close to the OCA. The economic conditions for MU in East Asia seem to be better satisfied than for the Eurozone. Trade integration is higher - there is a high level of intra-regional exports of goods in East-Asia.</w:t>
      </w:r>
    </w:p>
    <w:p w14:paraId="317B3FEB" w14:textId="3DA91145" w:rsidR="00A75CA2" w:rsidRPr="00DD038A" w:rsidRDefault="00A75CA2" w:rsidP="00A75CA2">
      <w:pPr>
        <w:rPr>
          <w:color w:val="2E74B5" w:themeColor="accent5" w:themeShade="BF"/>
        </w:rPr>
      </w:pPr>
      <w:r w:rsidRPr="00DD038A">
        <w:rPr>
          <w:color w:val="2E74B5" w:themeColor="accent5" w:themeShade="BF"/>
        </w:rPr>
        <w:t xml:space="preserve">East Asian countries do not experience more asymmetry in their shocks that the present Eurozone countries. The degree of symmetry in the demand and supply shocks of Asian and Eurozone countries is very similar. </w:t>
      </w:r>
      <w:r w:rsidR="00DD038A" w:rsidRPr="00DD038A">
        <w:rPr>
          <w:color w:val="2E74B5" w:themeColor="accent5" w:themeShade="BF"/>
        </w:rPr>
        <w:t>S</w:t>
      </w:r>
      <w:r w:rsidRPr="00DD038A">
        <w:rPr>
          <w:color w:val="2E74B5" w:themeColor="accent5" w:themeShade="BF"/>
        </w:rPr>
        <w:t>ince flexibility of labour in these countries is at least as high, if not more than E</w:t>
      </w:r>
      <w:r w:rsidR="00DD038A" w:rsidRPr="00DD038A">
        <w:rPr>
          <w:color w:val="2E74B5" w:themeColor="accent5" w:themeShade="BF"/>
        </w:rPr>
        <w:t>U’s</w:t>
      </w:r>
      <w:r w:rsidRPr="00DD038A">
        <w:rPr>
          <w:color w:val="2E74B5" w:themeColor="accent5" w:themeShade="BF"/>
        </w:rPr>
        <w:t xml:space="preserve">, appears that EA comes close to forming an OCA. </w:t>
      </w:r>
    </w:p>
    <w:p w14:paraId="604FD962" w14:textId="3C30C15C" w:rsidR="00A75CA2" w:rsidRPr="00DD038A" w:rsidRDefault="00A75CA2" w:rsidP="00A75CA2">
      <w:pPr>
        <w:rPr>
          <w:color w:val="2E74B5" w:themeColor="accent5" w:themeShade="BF"/>
        </w:rPr>
      </w:pPr>
      <w:r w:rsidRPr="00DD038A">
        <w:rPr>
          <w:color w:val="2E74B5" w:themeColor="accent5" w:themeShade="BF"/>
        </w:rPr>
        <w:t>However, large cultural differences –decide for political unification is we</w:t>
      </w:r>
      <w:r w:rsidR="00473CE6" w:rsidRPr="00DD038A">
        <w:rPr>
          <w:color w:val="2E74B5" w:themeColor="accent5" w:themeShade="BF"/>
        </w:rPr>
        <w:t>ak</w:t>
      </w:r>
      <w:r w:rsidRPr="00DD038A">
        <w:rPr>
          <w:color w:val="2E74B5" w:themeColor="accent5" w:themeShade="BF"/>
        </w:rPr>
        <w:t xml:space="preserve">. Also, an institution like ECB is absent. </w:t>
      </w:r>
    </w:p>
    <w:p w14:paraId="117B5B0A" w14:textId="455D342E" w:rsidR="00473CE6" w:rsidRPr="00DD038A" w:rsidRDefault="00473CE6" w:rsidP="00216555">
      <w:pPr>
        <w:pStyle w:val="ListParagraph"/>
        <w:numPr>
          <w:ilvl w:val="0"/>
          <w:numId w:val="9"/>
        </w:numPr>
        <w:rPr>
          <w:b/>
          <w:bCs/>
        </w:rPr>
      </w:pPr>
      <w:r w:rsidRPr="00DD038A">
        <w:rPr>
          <w:b/>
          <w:bCs/>
        </w:rPr>
        <w:t>Does the West-African initiative ECOWAS constitute an OCA? Explain.</w:t>
      </w:r>
    </w:p>
    <w:p w14:paraId="3A36F5BE" w14:textId="77777777" w:rsidR="00473CE6" w:rsidRPr="00DD038A" w:rsidRDefault="00473CE6" w:rsidP="00473CE6">
      <w:pPr>
        <w:rPr>
          <w:color w:val="2E74B5" w:themeColor="accent5" w:themeShade="BF"/>
        </w:rPr>
      </w:pPr>
      <w:r w:rsidRPr="00DD038A">
        <w:rPr>
          <w:color w:val="2E74B5" w:themeColor="accent5" w:themeShade="BF"/>
        </w:rPr>
        <w:t>The Economic Community of West African States (ECOWAS) is made up of fifteen member countries that are located in the Western African region.</w:t>
      </w:r>
    </w:p>
    <w:p w14:paraId="697E3E22" w14:textId="77777777" w:rsidR="00473CE6" w:rsidRPr="00DD038A" w:rsidRDefault="00473CE6" w:rsidP="00473CE6">
      <w:pPr>
        <w:rPr>
          <w:color w:val="2E74B5" w:themeColor="accent5" w:themeShade="BF"/>
        </w:rPr>
      </w:pPr>
      <w:r w:rsidRPr="00DD038A">
        <w:rPr>
          <w:color w:val="2E74B5" w:themeColor="accent5" w:themeShade="BF"/>
        </w:rPr>
        <w:t xml:space="preserve">The trade within West Africa makes up significantly less than 10% of most countries’ GDP. WA has a way to go to fully reap the benefits of a single currency. </w:t>
      </w:r>
    </w:p>
    <w:p w14:paraId="5E453B99" w14:textId="77777777" w:rsidR="00473CE6" w:rsidRPr="00DD038A" w:rsidRDefault="00473CE6" w:rsidP="00473CE6">
      <w:pPr>
        <w:rPr>
          <w:color w:val="2E74B5" w:themeColor="accent5" w:themeShade="BF"/>
        </w:rPr>
      </w:pPr>
      <w:r w:rsidRPr="00DD038A">
        <w:rPr>
          <w:color w:val="2E74B5" w:themeColor="accent5" w:themeShade="BF"/>
        </w:rPr>
        <w:t xml:space="preserve">There is low or negative supply shock correlation across countries and demand shocks are more correlated among WAEMU countries, reflecting the existence of a common MU among them. There is an intense labour mobility. Asymmetric shocks trigger large movements of workers from one country to another which sometimes lead to major political disruptions. </w:t>
      </w:r>
    </w:p>
    <w:p w14:paraId="4CB9C7E4" w14:textId="4EFB9104" w:rsidR="00A75CA2" w:rsidRDefault="00473CE6" w:rsidP="00473CE6">
      <w:pPr>
        <w:rPr>
          <w:color w:val="2E74B5" w:themeColor="accent5" w:themeShade="BF"/>
        </w:rPr>
      </w:pPr>
      <w:r w:rsidRPr="00DD038A">
        <w:rPr>
          <w:color w:val="2E74B5" w:themeColor="accent5" w:themeShade="BF"/>
        </w:rPr>
        <w:t>Therefore, the evidence on OCA is mixed. On the one hand, the degree of integration among WA countries is low, on the other hands mobility is substantially stronger.</w:t>
      </w:r>
      <w:r w:rsidR="00DD038A" w:rsidRPr="00DD038A">
        <w:rPr>
          <w:color w:val="2E74B5" w:themeColor="accent5" w:themeShade="BF"/>
        </w:rPr>
        <w:t xml:space="preserve"> </w:t>
      </w:r>
      <w:r w:rsidRPr="00DD038A">
        <w:rPr>
          <w:color w:val="2E74B5" w:themeColor="accent5" w:themeShade="BF"/>
        </w:rPr>
        <w:t>Additionally, the members of WAEMY have a common CB and a monetary institute, facilitating further steps towards a MU.</w:t>
      </w:r>
    </w:p>
    <w:p w14:paraId="37B4447A" w14:textId="05D3D583" w:rsidR="00216555" w:rsidRPr="0029784C" w:rsidRDefault="0029784C" w:rsidP="00216555">
      <w:pPr>
        <w:rPr>
          <w:b/>
          <w:bCs/>
          <w:sz w:val="24"/>
          <w:szCs w:val="24"/>
          <w:highlight w:val="yellow"/>
        </w:rPr>
      </w:pPr>
      <w:r>
        <w:rPr>
          <w:b/>
          <w:bCs/>
          <w:sz w:val="24"/>
          <w:szCs w:val="24"/>
          <w:highlight w:val="yellow"/>
        </w:rPr>
        <w:t xml:space="preserve">Summary </w:t>
      </w:r>
      <w:r w:rsidR="00216555" w:rsidRPr="0029784C">
        <w:rPr>
          <w:b/>
          <w:bCs/>
          <w:sz w:val="24"/>
          <w:szCs w:val="24"/>
          <w:highlight w:val="yellow"/>
        </w:rPr>
        <w:t>Chapter 6.</w:t>
      </w:r>
    </w:p>
    <w:p w14:paraId="76E75751" w14:textId="77777777" w:rsidR="00216555" w:rsidRPr="00216555" w:rsidRDefault="00216555" w:rsidP="00216555">
      <w:pPr>
        <w:pStyle w:val="ListParagraph"/>
        <w:numPr>
          <w:ilvl w:val="0"/>
          <w:numId w:val="6"/>
        </w:numPr>
        <w:rPr>
          <w:b/>
          <w:bCs/>
        </w:rPr>
      </w:pPr>
      <w:r w:rsidRPr="00216555">
        <w:rPr>
          <w:b/>
          <w:bCs/>
        </w:rPr>
        <w:t>Can you give a good justification of why countries should lower their government debt levels prior to entry into the monetary union?</w:t>
      </w:r>
    </w:p>
    <w:p w14:paraId="240DACB9" w14:textId="77777777" w:rsidR="00216555" w:rsidRPr="009F70F4" w:rsidRDefault="00216555" w:rsidP="00216555">
      <w:pPr>
        <w:rPr>
          <w:color w:val="4472C4" w:themeColor="accent1"/>
        </w:rPr>
      </w:pPr>
      <w:r w:rsidRPr="009F70F4">
        <w:rPr>
          <w:color w:val="4472C4" w:themeColor="accent1"/>
        </w:rPr>
        <w:lastRenderedPageBreak/>
        <w:t>Countries should do so, because low inflation countries like Germany, fear that high inflation countries such as Italy (which had a high debt/GDP ratio) will have more incentive to create inflation. Countries with high debt/GDP are keen on creating inflation since it means that the burden of debt is lower than before.</w:t>
      </w:r>
    </w:p>
    <w:p w14:paraId="3BA7F712" w14:textId="77777777" w:rsidR="00216555" w:rsidRPr="009F70F4" w:rsidRDefault="00216555" w:rsidP="00216555">
      <w:pPr>
        <w:rPr>
          <w:color w:val="4472C4" w:themeColor="accent1"/>
        </w:rPr>
      </w:pPr>
      <w:r w:rsidRPr="009F70F4">
        <w:rPr>
          <w:color w:val="4472C4" w:themeColor="accent1"/>
        </w:rPr>
        <w:t>The interest rate of bonds is fixed at the beginning (based on price expectations), and when the government creates inflation the real value of the bond decreases and the government has a lower real value of debt. However, this causes problems for the bondholder and this is why Italian debt is financed with short term bonds. Therefore, countries with low debt such as Germany, required the high debt countries to reduce their debt ratio so that they don’t have any incentive to create inflation.</w:t>
      </w:r>
    </w:p>
    <w:p w14:paraId="35BE3A6B" w14:textId="77777777" w:rsidR="00216555" w:rsidRPr="00216555" w:rsidRDefault="00216555" w:rsidP="00216555">
      <w:pPr>
        <w:pStyle w:val="ListParagraph"/>
        <w:numPr>
          <w:ilvl w:val="0"/>
          <w:numId w:val="6"/>
        </w:numPr>
        <w:rPr>
          <w:b/>
          <w:bCs/>
        </w:rPr>
      </w:pPr>
      <w:r w:rsidRPr="00216555">
        <w:rPr>
          <w:b/>
          <w:bCs/>
        </w:rPr>
        <w:t>Discuss: “The Maastricht convergence criteria have nothing to do with the economic criteria stressed by the OCA-theory. They are political in nature”.</w:t>
      </w:r>
    </w:p>
    <w:p w14:paraId="5DD3DC48" w14:textId="5BF0E6C4" w:rsidR="00216555" w:rsidRPr="009F70F4" w:rsidRDefault="00216555" w:rsidP="00216555">
      <w:pPr>
        <w:rPr>
          <w:color w:val="4472C4" w:themeColor="accent1"/>
        </w:rPr>
      </w:pPr>
      <w:r>
        <w:rPr>
          <w:color w:val="4472C4" w:themeColor="accent1"/>
        </w:rPr>
        <w:t>OCA</w:t>
      </w:r>
      <w:r w:rsidRPr="009F70F4">
        <w:rPr>
          <w:color w:val="4472C4" w:themeColor="accent1"/>
        </w:rPr>
        <w:t xml:space="preserve"> theory states that for a successful MU you need to have labour market flexibility and mobility. In addition, with a budgetary union. If these conditions are satisfied, there would be no need to satisfy the Maastricht convergence criteria. However, if OCA is not satisfied, it’s not the best idea to allow countries to enter the union even if the convergence criteria is satisfied.</w:t>
      </w:r>
    </w:p>
    <w:p w14:paraId="23B6A5F4" w14:textId="77777777" w:rsidR="00216555" w:rsidRPr="009F70F4" w:rsidRDefault="00216555" w:rsidP="00216555">
      <w:pPr>
        <w:rPr>
          <w:color w:val="4472C4" w:themeColor="accent1"/>
        </w:rPr>
      </w:pPr>
      <w:r w:rsidRPr="009F70F4">
        <w:rPr>
          <w:color w:val="4472C4" w:themeColor="accent1"/>
        </w:rPr>
        <w:t>The Maastricht Treaty stresses macroeconomic convergence criteria (inflation, interest rate, budgetary policies), OCA theory stresses microeconomic and political conditions for a successful MU.</w:t>
      </w:r>
    </w:p>
    <w:p w14:paraId="3109356B" w14:textId="77777777" w:rsidR="00216555" w:rsidRPr="00216555" w:rsidRDefault="00216555" w:rsidP="00216555">
      <w:pPr>
        <w:pStyle w:val="ListParagraph"/>
        <w:numPr>
          <w:ilvl w:val="0"/>
          <w:numId w:val="6"/>
        </w:numPr>
        <w:rPr>
          <w:b/>
          <w:bCs/>
        </w:rPr>
      </w:pPr>
      <w:r w:rsidRPr="00216555">
        <w:rPr>
          <w:b/>
          <w:bCs/>
        </w:rPr>
        <w:t>What is the “no-bail-out” clause in the Maastricht Treaty? Is this clause likely to be credible?</w:t>
      </w:r>
    </w:p>
    <w:p w14:paraId="4953110D" w14:textId="77777777" w:rsidR="00216555" w:rsidRPr="009F70F4" w:rsidRDefault="00216555" w:rsidP="00216555">
      <w:pPr>
        <w:tabs>
          <w:tab w:val="center" w:pos="4513"/>
        </w:tabs>
        <w:rPr>
          <w:color w:val="4472C4" w:themeColor="accent1"/>
        </w:rPr>
      </w:pPr>
      <w:r w:rsidRPr="009F70F4">
        <w:rPr>
          <w:color w:val="4472C4" w:themeColor="accent1"/>
        </w:rPr>
        <w:t xml:space="preserve">The fear that a country within the union may default due to large amounts of debt lead to the no-bailout clause. This clause states that no national government of ECB can be forced to bail out other member countries (cannot be forced to take over their debt).  During the liquidity and solvency crisis of 2012, the ECB helped the countries in distress, but it didn’t directly take over their debt. </w:t>
      </w:r>
    </w:p>
    <w:p w14:paraId="12C20EFF" w14:textId="77777777" w:rsidR="00216555" w:rsidRPr="009F70F4" w:rsidRDefault="00216555" w:rsidP="00216555">
      <w:pPr>
        <w:tabs>
          <w:tab w:val="center" w:pos="4513"/>
        </w:tabs>
        <w:rPr>
          <w:color w:val="4472C4" w:themeColor="accent1"/>
        </w:rPr>
      </w:pPr>
      <w:r w:rsidRPr="009F70F4">
        <w:rPr>
          <w:color w:val="4472C4" w:themeColor="accent1"/>
        </w:rPr>
        <w:t xml:space="preserve">Originally, they announced the SMP (Securities Market Program) program and said they were going to buy a limited amount of bonds for a limited time period but this wasn’t successful. Then they announced the OMT (Outright Monetary Transactions) which stated that the ECB commitment was unlimited in size and time. </w:t>
      </w:r>
    </w:p>
    <w:p w14:paraId="39C5F5FF" w14:textId="65B21113" w:rsidR="00216555" w:rsidRPr="009F70F4" w:rsidRDefault="00216555" w:rsidP="00216555">
      <w:pPr>
        <w:tabs>
          <w:tab w:val="center" w:pos="4513"/>
        </w:tabs>
        <w:rPr>
          <w:color w:val="4472C4" w:themeColor="accent1"/>
        </w:rPr>
      </w:pPr>
      <w:r w:rsidRPr="009F70F4">
        <w:rPr>
          <w:color w:val="4472C4" w:themeColor="accent1"/>
        </w:rPr>
        <w:t xml:space="preserve">Both are </w:t>
      </w:r>
      <w:r w:rsidRPr="00216555">
        <w:rPr>
          <w:b/>
          <w:bCs/>
          <w:color w:val="4472C4" w:themeColor="accent1"/>
        </w:rPr>
        <w:t>Quantitative Easing programs</w:t>
      </w:r>
      <w:r w:rsidRPr="009F70F4">
        <w:rPr>
          <w:color w:val="4472C4" w:themeColor="accent1"/>
        </w:rPr>
        <w:t xml:space="preserve"> in which the ECB buy short term government bonds in secondary market. </w:t>
      </w:r>
    </w:p>
    <w:p w14:paraId="7A7B1BAA" w14:textId="77777777" w:rsidR="00216555" w:rsidRPr="00216555" w:rsidRDefault="00216555" w:rsidP="00216555">
      <w:pPr>
        <w:pStyle w:val="ListParagraph"/>
        <w:numPr>
          <w:ilvl w:val="0"/>
          <w:numId w:val="6"/>
        </w:numPr>
        <w:rPr>
          <w:b/>
          <w:bCs/>
        </w:rPr>
      </w:pPr>
      <w:r w:rsidRPr="00216555">
        <w:rPr>
          <w:b/>
          <w:bCs/>
        </w:rPr>
        <w:t>If all countries that signed the Maastricht treaty had reached a deficit below 3% and a debt-to-GDP ratio less than 60% by 1999, would that have made an OCA of the Eurozone? Explain.</w:t>
      </w:r>
    </w:p>
    <w:p w14:paraId="5FE13567" w14:textId="77777777" w:rsidR="00216555" w:rsidRPr="009F70F4" w:rsidRDefault="00216555" w:rsidP="00216555">
      <w:pPr>
        <w:tabs>
          <w:tab w:val="center" w:pos="4513"/>
        </w:tabs>
        <w:rPr>
          <w:color w:val="4472C4" w:themeColor="accent1"/>
        </w:rPr>
      </w:pPr>
      <w:r w:rsidRPr="009F70F4">
        <w:rPr>
          <w:color w:val="4472C4" w:themeColor="accent1"/>
        </w:rPr>
        <w:t xml:space="preserve">If all countries that signed the treaty reached a deficit below 3% and a debt/GDP ratio less than 60% it still wouldn’t have made an OCA of the eurozone. Because the OCA criteria is very different from the Maastricht criteria. </w:t>
      </w:r>
    </w:p>
    <w:p w14:paraId="5DCA98F1" w14:textId="77777777" w:rsidR="00216555" w:rsidRDefault="00216555" w:rsidP="00216555">
      <w:pPr>
        <w:tabs>
          <w:tab w:val="center" w:pos="4513"/>
        </w:tabs>
      </w:pPr>
      <w:r w:rsidRPr="009F70F4">
        <w:rPr>
          <w:color w:val="4472C4" w:themeColor="accent1"/>
        </w:rPr>
        <w:t>The OCA criteria asks for countries to have wage and price flexibility, labour mobility, symmetric shocks and a budgetary union. Whereas the Maastricht criteria are more of macro-economic criteria which have as objective convergence and transition</w:t>
      </w:r>
      <w:r>
        <w:t>.</w:t>
      </w:r>
    </w:p>
    <w:p w14:paraId="405A3E4D" w14:textId="31EA346F" w:rsidR="00216555" w:rsidRPr="00216555" w:rsidRDefault="00216555" w:rsidP="00216555">
      <w:pPr>
        <w:pStyle w:val="ListParagraph"/>
        <w:numPr>
          <w:ilvl w:val="0"/>
          <w:numId w:val="6"/>
        </w:numPr>
        <w:rPr>
          <w:b/>
          <w:bCs/>
        </w:rPr>
      </w:pPr>
      <w:r w:rsidRPr="009F70F4">
        <w:rPr>
          <w:noProof/>
          <w:color w:val="4472C4" w:themeColor="accent1"/>
        </w:rPr>
        <w:drawing>
          <wp:anchor distT="0" distB="0" distL="114300" distR="114300" simplePos="0" relativeHeight="251661312" behindDoc="1" locked="0" layoutInCell="1" allowOverlap="1" wp14:anchorId="656CFC89" wp14:editId="7D32A2A8">
            <wp:simplePos x="0" y="0"/>
            <wp:positionH relativeFrom="column">
              <wp:posOffset>4488180</wp:posOffset>
            </wp:positionH>
            <wp:positionV relativeFrom="paragraph">
              <wp:posOffset>242342</wp:posOffset>
            </wp:positionV>
            <wp:extent cx="2104390" cy="1434465"/>
            <wp:effectExtent l="0" t="0" r="0" b="0"/>
            <wp:wrapThrough wrapText="bothSides">
              <wp:wrapPolygon edited="0">
                <wp:start x="0" y="0"/>
                <wp:lineTo x="0" y="21227"/>
                <wp:lineTo x="21313" y="21227"/>
                <wp:lineTo x="21313"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04390" cy="1434465"/>
                    </a:xfrm>
                    <a:prstGeom prst="rect">
                      <a:avLst/>
                    </a:prstGeom>
                    <a:noFill/>
                  </pic:spPr>
                </pic:pic>
              </a:graphicData>
            </a:graphic>
            <wp14:sizeRelH relativeFrom="margin">
              <wp14:pctWidth>0</wp14:pctWidth>
            </wp14:sizeRelH>
            <wp14:sizeRelV relativeFrom="margin">
              <wp14:pctHeight>0</wp14:pctHeight>
            </wp14:sizeRelV>
          </wp:anchor>
        </w:drawing>
      </w:r>
      <w:r w:rsidRPr="00216555">
        <w:rPr>
          <w:b/>
          <w:bCs/>
        </w:rPr>
        <w:t xml:space="preserve">Explain the motivation behind the inflation criterion in the Maastricht convergence criteria. Use </w:t>
      </w:r>
      <w:r>
        <w:rPr>
          <w:b/>
          <w:bCs/>
        </w:rPr>
        <w:t>a Graph</w:t>
      </w:r>
    </w:p>
    <w:p w14:paraId="6114E743" w14:textId="3E0A6111" w:rsidR="00216555" w:rsidRPr="009F70F4" w:rsidRDefault="00216555" w:rsidP="00216555">
      <w:pPr>
        <w:tabs>
          <w:tab w:val="center" w:pos="4513"/>
        </w:tabs>
        <w:rPr>
          <w:color w:val="4472C4" w:themeColor="accent1"/>
        </w:rPr>
      </w:pPr>
      <w:r w:rsidRPr="009F70F4">
        <w:rPr>
          <w:color w:val="4472C4" w:themeColor="accent1"/>
        </w:rPr>
        <w:t xml:space="preserve">It has to do with the fear that the future MU would have an inflationary bias. Consider there is Germany and Italy. Germany with low inflation preferences, Italy with high. </w:t>
      </w:r>
    </w:p>
    <w:p w14:paraId="79F8E6A1" w14:textId="0311A317" w:rsidR="00216555" w:rsidRPr="009F70F4" w:rsidRDefault="00216555" w:rsidP="00216555">
      <w:pPr>
        <w:tabs>
          <w:tab w:val="center" w:pos="4513"/>
        </w:tabs>
        <w:rPr>
          <w:color w:val="4472C4" w:themeColor="accent1"/>
        </w:rPr>
      </w:pPr>
      <w:r w:rsidRPr="009F70F4">
        <w:rPr>
          <w:color w:val="4472C4" w:themeColor="accent1"/>
        </w:rPr>
        <w:t>A low inflationary country reduces its welfare by forming a MU with countries that have a high inflation. This is because the union’s CB is likely to reflect the average preferences of the participating countries. Therefore, the candidate member countries are asked to provide evidence that they shared the same preference for low inflation as Germany.</w:t>
      </w:r>
    </w:p>
    <w:p w14:paraId="26D90E05" w14:textId="77777777" w:rsidR="00216555" w:rsidRPr="00216555" w:rsidRDefault="00216555" w:rsidP="00216555">
      <w:pPr>
        <w:pStyle w:val="ListParagraph"/>
        <w:numPr>
          <w:ilvl w:val="0"/>
          <w:numId w:val="6"/>
        </w:numPr>
        <w:rPr>
          <w:b/>
          <w:bCs/>
        </w:rPr>
      </w:pPr>
      <w:r w:rsidRPr="00216555">
        <w:rPr>
          <w:b/>
          <w:bCs/>
        </w:rPr>
        <w:t>The 3% deficit and 60% debt-to-GDP norm have been criticized.  What are the main criticisms with regards to these specific budgetary numbers?</w:t>
      </w:r>
    </w:p>
    <w:p w14:paraId="6FFB973A" w14:textId="77777777" w:rsidR="00216555" w:rsidRPr="009F70F4" w:rsidRDefault="00216555" w:rsidP="00216555">
      <w:pPr>
        <w:rPr>
          <w:color w:val="4472C4" w:themeColor="accent1"/>
        </w:rPr>
      </w:pPr>
      <w:r w:rsidRPr="009F70F4">
        <w:rPr>
          <w:color w:val="4472C4" w:themeColor="accent1"/>
        </w:rPr>
        <w:lastRenderedPageBreak/>
        <w:t xml:space="preserve">The rule is quite arbitrary on two counts. First, it is unclear why the debt should be stabilized at 60%, as other numbers would be fine also. The only reason why 60% has been chosen at Maastricht was that at that time this was the average debt-GDP ratio in the EU. </w:t>
      </w:r>
    </w:p>
    <w:p w14:paraId="68A90CB6" w14:textId="605E8E13" w:rsidR="00216555" w:rsidRPr="00216555" w:rsidRDefault="00216555" w:rsidP="00216555">
      <w:pPr>
        <w:rPr>
          <w:color w:val="4472C4" w:themeColor="accent1"/>
        </w:rPr>
      </w:pPr>
      <w:r w:rsidRPr="009F70F4">
        <w:rPr>
          <w:color w:val="4472C4" w:themeColor="accent1"/>
        </w:rPr>
        <w:t>Second, the rule is conditional on the nominal growth rate of GDP. Some countries have higher nominal growth rates, allowing them to have higher budget deficits that stabilize the government debt at 60%. In contrast some countries experience lower nominal growth rates. They have to run budget deficits if they want to stabilize their debt to GDP ratio.</w:t>
      </w:r>
    </w:p>
    <w:p w14:paraId="38597FC7" w14:textId="77777777" w:rsidR="00216555" w:rsidRPr="00216555" w:rsidRDefault="00216555" w:rsidP="00216555">
      <w:pPr>
        <w:pStyle w:val="ListParagraph"/>
        <w:numPr>
          <w:ilvl w:val="0"/>
          <w:numId w:val="6"/>
        </w:numPr>
        <w:rPr>
          <w:b/>
          <w:bCs/>
        </w:rPr>
      </w:pPr>
      <w:r w:rsidRPr="00216555">
        <w:rPr>
          <w:b/>
          <w:bCs/>
        </w:rPr>
        <w:t xml:space="preserve">Suppose the Danish kroner increases beyond the ceiling of the band of the ERMII. Explain what will happen, for instance at the balance sheet of the ECB, according to the procedures of the ERMII (EU’s exchange rate mechanism) mechanism. </w:t>
      </w:r>
    </w:p>
    <w:p w14:paraId="5C87D114" w14:textId="64F45567" w:rsidR="00216555" w:rsidRPr="009F70F4" w:rsidRDefault="00216555" w:rsidP="00216555">
      <w:pPr>
        <w:rPr>
          <w:color w:val="4472C4" w:themeColor="accent1"/>
        </w:rPr>
      </w:pPr>
      <w:r>
        <w:rPr>
          <w:color w:val="4472C4" w:themeColor="accent1"/>
        </w:rPr>
        <w:t>I</w:t>
      </w:r>
      <w:r w:rsidRPr="009F70F4">
        <w:rPr>
          <w:color w:val="4472C4" w:themeColor="accent1"/>
        </w:rPr>
        <w:t xml:space="preserve">mplication of Denmark of having joined the ERM – II, is that it must follow the decision of the ECB to raise or lower the interest rate very closely (with a margin of fluctuation), without having a say in the decision made by the ECB. </w:t>
      </w:r>
    </w:p>
    <w:p w14:paraId="616CD9A9" w14:textId="77777777" w:rsidR="00216555" w:rsidRPr="009F70F4" w:rsidRDefault="00216555" w:rsidP="00216555">
      <w:pPr>
        <w:rPr>
          <w:color w:val="4472C4" w:themeColor="accent1"/>
        </w:rPr>
      </w:pPr>
      <w:r w:rsidRPr="009F70F4">
        <w:rPr>
          <w:color w:val="4472C4" w:themeColor="accent1"/>
        </w:rPr>
        <w:t xml:space="preserve">When the exchange rate reaches the limit of the fluctuation margin, intervention by the ECB is obligatory as it could conflict with the objective of price stability in the Eurozone or the ERMII country.  The ECB should stand ready for unlimited intervention when a member’s currency drops below the lower limit of the band. </w:t>
      </w:r>
    </w:p>
    <w:p w14:paraId="481D4758" w14:textId="77777777" w:rsidR="00216555" w:rsidRDefault="00216555" w:rsidP="00216555">
      <w:pPr>
        <w:rPr>
          <w:color w:val="4472C4" w:themeColor="accent1"/>
        </w:rPr>
      </w:pPr>
      <w:r w:rsidRPr="009F70F4">
        <w:rPr>
          <w:color w:val="4472C4" w:themeColor="accent1"/>
        </w:rPr>
        <w:t xml:space="preserve">If ECB would intervene, they would do it with sterilization,  intervene in a way such as the monetary base remains constant. No impact on the asset side of the BS. The monetary base remains constant. </w:t>
      </w:r>
    </w:p>
    <w:p w14:paraId="3B33B98B" w14:textId="231B3BAE" w:rsidR="00216555" w:rsidRPr="00216555" w:rsidRDefault="00216555" w:rsidP="00216555">
      <w:pPr>
        <w:pStyle w:val="ListParagraph"/>
        <w:numPr>
          <w:ilvl w:val="0"/>
          <w:numId w:val="6"/>
        </w:numPr>
        <w:rPr>
          <w:b/>
          <w:bCs/>
        </w:rPr>
      </w:pPr>
      <w:r w:rsidRPr="00216555">
        <w:rPr>
          <w:b/>
          <w:bCs/>
        </w:rPr>
        <w:t>What is the no bailout clause in the MT? Has this clause affected governments behaviour?</w:t>
      </w:r>
    </w:p>
    <w:p w14:paraId="4A61D267" w14:textId="77777777" w:rsidR="00216555" w:rsidRPr="009F70F4" w:rsidRDefault="00216555" w:rsidP="00216555">
      <w:pPr>
        <w:rPr>
          <w:color w:val="4472C4" w:themeColor="accent1"/>
        </w:rPr>
      </w:pPr>
      <w:r w:rsidRPr="009F70F4">
        <w:rPr>
          <w:color w:val="4472C4" w:themeColor="accent1"/>
        </w:rPr>
        <w:t xml:space="preserve">The no bail out clause: it doesn’t rule out Member States ‘bailing out’ other countries by lending them money. Nor is their any prohibition on loans being restructured. </w:t>
      </w:r>
    </w:p>
    <w:p w14:paraId="25D18925" w14:textId="77777777" w:rsidR="00216555" w:rsidRPr="009F70F4" w:rsidRDefault="00216555" w:rsidP="00216555">
      <w:pPr>
        <w:rPr>
          <w:color w:val="4472C4" w:themeColor="accent1"/>
        </w:rPr>
      </w:pPr>
      <w:r w:rsidRPr="009F70F4">
        <w:rPr>
          <w:color w:val="4472C4" w:themeColor="accent1"/>
        </w:rPr>
        <w:t xml:space="preserve">A low debt-GDP country would only join a MU under the condition that the high-debt GDP countries reduce deficit/debt before entering the MU, therefore, it leads to the convergence criterium.  It resulted in the following: </w:t>
      </w:r>
    </w:p>
    <w:p w14:paraId="72870E1B" w14:textId="77777777" w:rsidR="00216555" w:rsidRPr="009F70F4" w:rsidRDefault="00216555" w:rsidP="00216555">
      <w:pPr>
        <w:pStyle w:val="ListParagraph"/>
        <w:numPr>
          <w:ilvl w:val="0"/>
          <w:numId w:val="5"/>
        </w:numPr>
        <w:rPr>
          <w:color w:val="4472C4" w:themeColor="accent1"/>
        </w:rPr>
      </w:pPr>
      <w:r w:rsidRPr="009F70F4">
        <w:rPr>
          <w:color w:val="4472C4" w:themeColor="accent1"/>
        </w:rPr>
        <w:t xml:space="preserve">A max of 3% budget deficit + 60% government debt </w:t>
      </w:r>
    </w:p>
    <w:p w14:paraId="7F79AB7B" w14:textId="77777777" w:rsidR="00216555" w:rsidRDefault="00216555" w:rsidP="00216555">
      <w:pPr>
        <w:pStyle w:val="ListParagraph"/>
        <w:numPr>
          <w:ilvl w:val="0"/>
          <w:numId w:val="5"/>
        </w:numPr>
      </w:pPr>
      <w:r w:rsidRPr="009F70F4">
        <w:rPr>
          <w:color w:val="4472C4" w:themeColor="accent1"/>
        </w:rPr>
        <w:t xml:space="preserve">No bailout clause: neither government nor ECB can be forced to take over debt of other countries. </w:t>
      </w:r>
      <w:r>
        <w:br/>
      </w:r>
    </w:p>
    <w:p w14:paraId="087860AB" w14:textId="189FE644" w:rsidR="00216555" w:rsidRPr="00216555" w:rsidRDefault="00216555" w:rsidP="00216555">
      <w:pPr>
        <w:pStyle w:val="ListParagraph"/>
        <w:numPr>
          <w:ilvl w:val="0"/>
          <w:numId w:val="6"/>
        </w:numPr>
        <w:rPr>
          <w:b/>
          <w:bCs/>
        </w:rPr>
      </w:pPr>
      <w:r w:rsidRPr="00216555">
        <w:rPr>
          <w:b/>
          <w:bCs/>
        </w:rPr>
        <w:t xml:space="preserve">Why is the Maastricht interest rate convergence requirement superfluous? </w:t>
      </w:r>
    </w:p>
    <w:p w14:paraId="0D214283" w14:textId="77777777" w:rsidR="00216555" w:rsidRPr="009F70F4" w:rsidRDefault="00216555" w:rsidP="00216555">
      <w:pPr>
        <w:rPr>
          <w:color w:val="4472C4" w:themeColor="accent1"/>
        </w:rPr>
      </w:pPr>
      <w:r w:rsidRPr="009F70F4">
        <w:rPr>
          <w:color w:val="4472C4" w:themeColor="accent1"/>
        </w:rPr>
        <w:t xml:space="preserve">Self-fulfilling nature. The rule says that the LT government bond rate of a prospective member should not exceed the average of the LT gov bond rates of 3 Eurozone countries with the lowest rates of inflation. </w:t>
      </w:r>
    </w:p>
    <w:p w14:paraId="38826326" w14:textId="77777777" w:rsidR="00216555" w:rsidRDefault="00216555" w:rsidP="00216555">
      <w:pPr>
        <w:rPr>
          <w:color w:val="4472C4" w:themeColor="accent1"/>
        </w:rPr>
      </w:pPr>
      <w:r w:rsidRPr="009F70F4">
        <w:rPr>
          <w:color w:val="4472C4" w:themeColor="accent1"/>
        </w:rPr>
        <w:t>The capital gains and losses will happen before the entry into the union as the LT bond rate will start converging prior the entry. At the start of the union, these capital gains and losses will be very small, thus the convergence criterion is redundant. As soon as countries are expected to fulfil other criteria, market forces make sure that interest rates quickly converge.</w:t>
      </w:r>
    </w:p>
    <w:p w14:paraId="72D96809" w14:textId="5EBC011E" w:rsidR="00216555" w:rsidRPr="00216555" w:rsidRDefault="00216555" w:rsidP="00216555">
      <w:pPr>
        <w:pStyle w:val="ListParagraph"/>
        <w:numPr>
          <w:ilvl w:val="0"/>
          <w:numId w:val="6"/>
        </w:numPr>
        <w:rPr>
          <w:b/>
          <w:bCs/>
        </w:rPr>
      </w:pPr>
      <w:r w:rsidRPr="00216555">
        <w:rPr>
          <w:b/>
          <w:bCs/>
        </w:rPr>
        <w:t>Does it make sense economically to impose the same 3% budget deficit rule to all member countries in the MU? Does it make sense politically?</w:t>
      </w:r>
    </w:p>
    <w:p w14:paraId="19791809" w14:textId="77777777" w:rsidR="00216555" w:rsidRPr="009F70F4" w:rsidRDefault="00216555" w:rsidP="00216555">
      <w:pPr>
        <w:rPr>
          <w:color w:val="4472C4" w:themeColor="accent1"/>
        </w:rPr>
      </w:pPr>
      <w:r w:rsidRPr="009F70F4">
        <w:rPr>
          <w:color w:val="4472C4" w:themeColor="accent1"/>
        </w:rPr>
        <w:t xml:space="preserve">The rule is quite arbitrary on two counts. First, it is unclear why the debt should be stabilized at 60%. Other numbers would do as well. In that case the deficit to be aimed should be different. The only reason why 60% has been chosen at Maastricht was that at that time this was the average debt-GDP ratio in the EU. </w:t>
      </w:r>
    </w:p>
    <w:p w14:paraId="559BC0FF" w14:textId="77777777" w:rsidR="00216555" w:rsidRPr="009F70F4" w:rsidRDefault="00216555" w:rsidP="00216555">
      <w:pPr>
        <w:rPr>
          <w:color w:val="4472C4" w:themeColor="accent1"/>
        </w:rPr>
      </w:pPr>
      <w:r w:rsidRPr="009F70F4">
        <w:rPr>
          <w:color w:val="4472C4" w:themeColor="accent1"/>
        </w:rPr>
        <w:t xml:space="preserve">Second, the rule is conditional on the nominal growth rate of GDP. Some countries have higher nominal growth rates, allowing them to have higher budget deficits that stabilize the government debt at 60%. In contrast some countries experience lower nominal growth rates. They have to run budget deficits if they want to stabilize their debt to GDP ratio. </w:t>
      </w:r>
    </w:p>
    <w:p w14:paraId="5190B673" w14:textId="77777777" w:rsidR="00216555" w:rsidRPr="00DD038A" w:rsidRDefault="00216555" w:rsidP="00473CE6">
      <w:pPr>
        <w:rPr>
          <w:color w:val="2E74B5" w:themeColor="accent5" w:themeShade="BF"/>
        </w:rPr>
      </w:pPr>
    </w:p>
    <w:sectPr w:rsidR="00216555" w:rsidRPr="00DD038A" w:rsidSect="00705A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07FF8"/>
    <w:multiLevelType w:val="hybridMultilevel"/>
    <w:tmpl w:val="1956738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647BEC"/>
    <w:multiLevelType w:val="hybridMultilevel"/>
    <w:tmpl w:val="4B56BAB0"/>
    <w:lvl w:ilvl="0" w:tplc="F4D8B50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42785E"/>
    <w:multiLevelType w:val="hybridMultilevel"/>
    <w:tmpl w:val="F978FD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46044D"/>
    <w:multiLevelType w:val="hybridMultilevel"/>
    <w:tmpl w:val="7AC44F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B82AEF"/>
    <w:multiLevelType w:val="hybridMultilevel"/>
    <w:tmpl w:val="4A36872A"/>
    <w:lvl w:ilvl="0" w:tplc="08090011">
      <w:start w:val="1"/>
      <w:numFmt w:val="decimal"/>
      <w:lvlText w:val="%1)"/>
      <w:lvlJc w:val="left"/>
      <w:rPr>
        <w:rFonts w:hint="default"/>
      </w:rPr>
    </w:lvl>
    <w:lvl w:ilvl="1" w:tplc="08090019" w:tentative="1">
      <w:start w:val="1"/>
      <w:numFmt w:val="lowerLetter"/>
      <w:lvlText w:val="%2."/>
      <w:lvlJc w:val="left"/>
      <w:pPr>
        <w:ind w:left="-630" w:hanging="360"/>
      </w:pPr>
    </w:lvl>
    <w:lvl w:ilvl="2" w:tplc="0809001B" w:tentative="1">
      <w:start w:val="1"/>
      <w:numFmt w:val="lowerRoman"/>
      <w:lvlText w:val="%3."/>
      <w:lvlJc w:val="right"/>
      <w:pPr>
        <w:ind w:left="90" w:hanging="180"/>
      </w:pPr>
    </w:lvl>
    <w:lvl w:ilvl="3" w:tplc="0809000F" w:tentative="1">
      <w:start w:val="1"/>
      <w:numFmt w:val="decimal"/>
      <w:lvlText w:val="%4."/>
      <w:lvlJc w:val="left"/>
      <w:pPr>
        <w:ind w:left="810" w:hanging="360"/>
      </w:pPr>
    </w:lvl>
    <w:lvl w:ilvl="4" w:tplc="08090019" w:tentative="1">
      <w:start w:val="1"/>
      <w:numFmt w:val="lowerLetter"/>
      <w:lvlText w:val="%5."/>
      <w:lvlJc w:val="left"/>
      <w:pPr>
        <w:ind w:left="1530" w:hanging="360"/>
      </w:pPr>
    </w:lvl>
    <w:lvl w:ilvl="5" w:tplc="0809001B" w:tentative="1">
      <w:start w:val="1"/>
      <w:numFmt w:val="lowerRoman"/>
      <w:lvlText w:val="%6."/>
      <w:lvlJc w:val="right"/>
      <w:pPr>
        <w:ind w:left="2250" w:hanging="180"/>
      </w:pPr>
    </w:lvl>
    <w:lvl w:ilvl="6" w:tplc="0809000F" w:tentative="1">
      <w:start w:val="1"/>
      <w:numFmt w:val="decimal"/>
      <w:lvlText w:val="%7."/>
      <w:lvlJc w:val="left"/>
      <w:pPr>
        <w:ind w:left="2970" w:hanging="360"/>
      </w:pPr>
    </w:lvl>
    <w:lvl w:ilvl="7" w:tplc="08090019" w:tentative="1">
      <w:start w:val="1"/>
      <w:numFmt w:val="lowerLetter"/>
      <w:lvlText w:val="%8."/>
      <w:lvlJc w:val="left"/>
      <w:pPr>
        <w:ind w:left="3690" w:hanging="360"/>
      </w:pPr>
    </w:lvl>
    <w:lvl w:ilvl="8" w:tplc="0809001B" w:tentative="1">
      <w:start w:val="1"/>
      <w:numFmt w:val="lowerRoman"/>
      <w:lvlText w:val="%9."/>
      <w:lvlJc w:val="right"/>
      <w:pPr>
        <w:ind w:left="4410" w:hanging="180"/>
      </w:pPr>
    </w:lvl>
  </w:abstractNum>
  <w:abstractNum w:abstractNumId="5" w15:restartNumberingAfterBreak="0">
    <w:nsid w:val="46F13BEB"/>
    <w:multiLevelType w:val="hybridMultilevel"/>
    <w:tmpl w:val="2B7EDF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89E27E7"/>
    <w:multiLevelType w:val="hybridMultilevel"/>
    <w:tmpl w:val="DDD252B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CAC1540"/>
    <w:multiLevelType w:val="hybridMultilevel"/>
    <w:tmpl w:val="FC86526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95426F3"/>
    <w:multiLevelType w:val="hybridMultilevel"/>
    <w:tmpl w:val="381850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61756542">
    <w:abstractNumId w:val="6"/>
  </w:num>
  <w:num w:numId="2" w16cid:durableId="1239823212">
    <w:abstractNumId w:val="4"/>
  </w:num>
  <w:num w:numId="3" w16cid:durableId="713434325">
    <w:abstractNumId w:val="0"/>
  </w:num>
  <w:num w:numId="4" w16cid:durableId="247037188">
    <w:abstractNumId w:val="7"/>
  </w:num>
  <w:num w:numId="5" w16cid:durableId="190801733">
    <w:abstractNumId w:val="1"/>
  </w:num>
  <w:num w:numId="6" w16cid:durableId="604460871">
    <w:abstractNumId w:val="8"/>
  </w:num>
  <w:num w:numId="7" w16cid:durableId="176769899">
    <w:abstractNumId w:val="3"/>
  </w:num>
  <w:num w:numId="8" w16cid:durableId="417144346">
    <w:abstractNumId w:val="2"/>
  </w:num>
  <w:num w:numId="9" w16cid:durableId="19705460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9D1"/>
    <w:rsid w:val="000766F4"/>
    <w:rsid w:val="000B25FE"/>
    <w:rsid w:val="001B1D48"/>
    <w:rsid w:val="00216555"/>
    <w:rsid w:val="0029784C"/>
    <w:rsid w:val="00341F10"/>
    <w:rsid w:val="003641CD"/>
    <w:rsid w:val="003729D1"/>
    <w:rsid w:val="0038097F"/>
    <w:rsid w:val="003909CE"/>
    <w:rsid w:val="00473CE6"/>
    <w:rsid w:val="004F6551"/>
    <w:rsid w:val="005E7167"/>
    <w:rsid w:val="00705AFF"/>
    <w:rsid w:val="0071100F"/>
    <w:rsid w:val="00742322"/>
    <w:rsid w:val="008E121B"/>
    <w:rsid w:val="00A75CA2"/>
    <w:rsid w:val="00AD2C1A"/>
    <w:rsid w:val="00B41C1A"/>
    <w:rsid w:val="00B565B4"/>
    <w:rsid w:val="00C77CEA"/>
    <w:rsid w:val="00CC7E47"/>
    <w:rsid w:val="00D2741E"/>
    <w:rsid w:val="00DB7DA4"/>
    <w:rsid w:val="00DD038A"/>
    <w:rsid w:val="00E6793C"/>
    <w:rsid w:val="00E70979"/>
    <w:rsid w:val="00F35C1F"/>
    <w:rsid w:val="00F86C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50244"/>
  <w15:chartTrackingRefBased/>
  <w15:docId w15:val="{0CFE6FDD-7F57-4B4A-BFF7-7038FE1BC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29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962</TotalTime>
  <Pages>7</Pages>
  <Words>4018</Words>
  <Characters>22903</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Leila Gardner</dc:creator>
  <cp:keywords/>
  <dc:description/>
  <cp:lastModifiedBy>Nurlan Abdullayev</cp:lastModifiedBy>
  <cp:revision>7</cp:revision>
  <dcterms:created xsi:type="dcterms:W3CDTF">2022-01-27T19:45:00Z</dcterms:created>
  <dcterms:modified xsi:type="dcterms:W3CDTF">2023-01-15T16:18:00Z</dcterms:modified>
</cp:coreProperties>
</file>