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91E57" w14:textId="77777777" w:rsidR="0062040A" w:rsidRDefault="0062040A" w:rsidP="0062040A">
      <w:pPr>
        <w:rPr>
          <w:b/>
          <w:sz w:val="28"/>
          <w:szCs w:val="28"/>
          <w:lang w:val="en-GB"/>
        </w:rPr>
      </w:pPr>
      <w:r>
        <w:rPr>
          <w:b/>
          <w:sz w:val="28"/>
          <w:szCs w:val="28"/>
          <w:lang w:val="en-GB"/>
        </w:rPr>
        <w:t xml:space="preserve">Summary Lecture 5: </w:t>
      </w:r>
    </w:p>
    <w:p w14:paraId="15CDE7A5" w14:textId="77777777" w:rsidR="0062040A" w:rsidRDefault="0062040A" w:rsidP="0062040A">
      <w:pPr>
        <w:rPr>
          <w:b/>
          <w:sz w:val="28"/>
          <w:szCs w:val="28"/>
          <w:lang w:val="en-GB"/>
        </w:rPr>
      </w:pPr>
    </w:p>
    <w:p w14:paraId="173C57F8" w14:textId="77777777" w:rsidR="0062040A" w:rsidRPr="00FD23D8" w:rsidRDefault="0062040A" w:rsidP="0062040A">
      <w:pPr>
        <w:pStyle w:val="ListParagraph"/>
        <w:numPr>
          <w:ilvl w:val="0"/>
          <w:numId w:val="1"/>
        </w:numPr>
        <w:rPr>
          <w:bCs/>
          <w:sz w:val="28"/>
          <w:szCs w:val="28"/>
        </w:rPr>
      </w:pPr>
      <w:r w:rsidRPr="00FD23D8">
        <w:rPr>
          <w:bCs/>
          <w:sz w:val="28"/>
          <w:szCs w:val="28"/>
          <w:u w:val="single"/>
          <w:lang w:val="en-US"/>
        </w:rPr>
        <w:t>Classic theories of economic growth: 4 approaches</w:t>
      </w:r>
      <w:r w:rsidRPr="00FD23D8">
        <w:rPr>
          <w:bCs/>
          <w:sz w:val="28"/>
          <w:szCs w:val="28"/>
        </w:rPr>
        <w:tab/>
      </w:r>
    </w:p>
    <w:p w14:paraId="01079353" w14:textId="77777777" w:rsidR="0062040A" w:rsidRDefault="0062040A" w:rsidP="0062040A">
      <w:pPr>
        <w:rPr>
          <w:bCs/>
        </w:rPr>
      </w:pPr>
      <w:r>
        <w:rPr>
          <w:bCs/>
        </w:rPr>
        <w:tab/>
      </w:r>
    </w:p>
    <w:p w14:paraId="1AAB7C8B" w14:textId="77777777" w:rsidR="0062040A" w:rsidRDefault="0062040A" w:rsidP="0062040A">
      <w:pPr>
        <w:rPr>
          <w:bCs/>
        </w:rPr>
      </w:pPr>
      <w:r>
        <w:rPr>
          <w:bCs/>
        </w:rPr>
        <w:tab/>
      </w:r>
      <w:r w:rsidRPr="007D6B9A">
        <w:rPr>
          <w:bCs/>
        </w:rPr>
        <w:t xml:space="preserve">The classic post–World War II literature on economic development has been dominated by four major and sometimes competing strands of thought: (1) the linear-stages-of-growth model, (2) theories and patterns of structural change, (3) the international-dependence revolution, and (4) the neoclassical, free-market counterrevolution. In recent years, an eclectic approach has emerged that draws on all of these classic theories. </w:t>
      </w:r>
    </w:p>
    <w:p w14:paraId="3FD5AC7A" w14:textId="77777777" w:rsidR="0062040A" w:rsidRPr="0062040A" w:rsidRDefault="0062040A" w:rsidP="0062040A">
      <w:pPr>
        <w:rPr>
          <w:bCs/>
          <w:lang w:val="en-US"/>
        </w:rPr>
      </w:pPr>
    </w:p>
    <w:p w14:paraId="03468A58" w14:textId="77777777" w:rsidR="0062040A" w:rsidRPr="00FD23D8" w:rsidRDefault="0062040A" w:rsidP="0062040A">
      <w:pPr>
        <w:pStyle w:val="ListParagraph"/>
        <w:numPr>
          <w:ilvl w:val="0"/>
          <w:numId w:val="1"/>
        </w:numPr>
        <w:rPr>
          <w:bCs/>
          <w:sz w:val="28"/>
          <w:szCs w:val="28"/>
          <w:lang w:val="en-US"/>
        </w:rPr>
      </w:pPr>
      <w:r w:rsidRPr="00FD23D8">
        <w:rPr>
          <w:bCs/>
          <w:sz w:val="28"/>
          <w:szCs w:val="28"/>
          <w:u w:val="single"/>
          <w:lang w:val="en-US"/>
        </w:rPr>
        <w:t>Development as Growth and the Linear Stages Theory</w:t>
      </w:r>
    </w:p>
    <w:p w14:paraId="44360ED0" w14:textId="77777777" w:rsidR="0062040A" w:rsidRDefault="0062040A" w:rsidP="0062040A">
      <w:pPr>
        <w:rPr>
          <w:bCs/>
          <w:lang w:val="en-US"/>
        </w:rPr>
      </w:pPr>
    </w:p>
    <w:p w14:paraId="68E307EC" w14:textId="77777777" w:rsidR="0062040A" w:rsidRDefault="0062040A" w:rsidP="0062040A">
      <w:pPr>
        <w:rPr>
          <w:bCs/>
          <w:u w:val="single"/>
          <w:lang w:val="en-US"/>
        </w:rPr>
      </w:pPr>
      <w:r>
        <w:rPr>
          <w:bCs/>
          <w:u w:val="single"/>
          <w:lang w:val="en-US"/>
        </w:rPr>
        <w:t xml:space="preserve">Rostow’s stages of growth: </w:t>
      </w:r>
    </w:p>
    <w:p w14:paraId="68B3C8B7" w14:textId="77777777" w:rsidR="0062040A" w:rsidRDefault="0062040A" w:rsidP="0062040A">
      <w:pPr>
        <w:rPr>
          <w:bCs/>
        </w:rPr>
      </w:pPr>
      <w:r>
        <w:rPr>
          <w:bCs/>
          <w:lang w:val="en-US"/>
        </w:rPr>
        <w:tab/>
      </w:r>
      <w:r w:rsidRPr="00CA0015">
        <w:rPr>
          <w:bCs/>
        </w:rPr>
        <w:t xml:space="preserve">The most influential and outspoken advocate of the </w:t>
      </w:r>
      <w:r w:rsidRPr="00CA0015">
        <w:rPr>
          <w:b/>
          <w:bCs/>
        </w:rPr>
        <w:t xml:space="preserve">stages-of-growth model of development </w:t>
      </w:r>
      <w:r w:rsidRPr="00CA0015">
        <w:rPr>
          <w:bCs/>
        </w:rPr>
        <w:t xml:space="preserve">was the American economic historian Walt W. Rostow. According to Rostow, the transition from underdevelopment to development can be described in terms of a series of steps or stages through which all countries must proceed. </w:t>
      </w:r>
    </w:p>
    <w:p w14:paraId="54280878" w14:textId="07A491A6" w:rsidR="0062040A" w:rsidRDefault="0062040A" w:rsidP="0062040A">
      <w:pPr>
        <w:rPr>
          <w:bCs/>
        </w:rPr>
      </w:pPr>
      <w:r>
        <w:rPr>
          <w:bCs/>
        </w:rPr>
        <w:tab/>
      </w:r>
      <w:r w:rsidRPr="00CA0015">
        <w:rPr>
          <w:bCs/>
          <w:lang w:val="en-US"/>
        </w:rPr>
        <w:t>According to Rostow, we co</w:t>
      </w:r>
      <w:r>
        <w:rPr>
          <w:bCs/>
          <w:lang w:val="en-US"/>
        </w:rPr>
        <w:t xml:space="preserve">uld identify all societies, in their economic dimensions, as lying within one of the following categories: </w:t>
      </w:r>
      <w:r w:rsidRPr="00CA0015">
        <w:rPr>
          <w:bCs/>
        </w:rPr>
        <w:t xml:space="preserve">the traditional society, the preconditions for take-off into self-sustaining growth, the take-off, the drive to maturity, and the age of high mass consumption. The advanced countries, it was argued, had all passed the stage of “takeoff into self-sustaining growth,” and the underdeveloped countries that were still in either the traditional society or the “preconditions” stage had only to follow a certain set of rules of development to take off in their turn into self-sustaining economic growth. </w:t>
      </w:r>
    </w:p>
    <w:p w14:paraId="1ED9C454" w14:textId="1DC28943" w:rsidR="0062040A" w:rsidRDefault="0062040A" w:rsidP="0062040A">
      <w:pPr>
        <w:rPr>
          <w:lang w:val="en-US"/>
        </w:rPr>
      </w:pPr>
      <w:r>
        <w:rPr>
          <w:bCs/>
        </w:rPr>
        <w:tab/>
      </w:r>
      <w:r w:rsidRPr="00CE2F89">
        <w:rPr>
          <w:bCs/>
        </w:rPr>
        <w:t xml:space="preserve">One of the principal strategies of development necessary for any takeoff was the mobilization of domestic and foreign saving in order to generate sufficient investment to accelerate economic growth. The economic mechanism by which more investment leads to more growth can be described in terms of the </w:t>
      </w:r>
      <w:r w:rsidRPr="00CE2F89">
        <w:rPr>
          <w:b/>
          <w:bCs/>
        </w:rPr>
        <w:t>Harrod-Domar growth model</w:t>
      </w:r>
      <w:r w:rsidRPr="00CE2F89">
        <w:rPr>
          <w:b/>
          <w:bCs/>
          <w:lang w:val="en-US"/>
        </w:rPr>
        <w:t xml:space="preserve"> </w:t>
      </w:r>
      <w:r>
        <w:rPr>
          <w:lang w:val="en-US"/>
        </w:rPr>
        <w:t>(</w:t>
      </w:r>
      <w:r w:rsidRPr="00CE2F89">
        <w:t>A functional economic relationship in which the growth rate of gross domestic product (</w:t>
      </w:r>
      <w:r w:rsidRPr="00CE2F89">
        <w:rPr>
          <w:i/>
          <w:iCs/>
        </w:rPr>
        <w:t>g</w:t>
      </w:r>
      <w:r w:rsidRPr="00CE2F89">
        <w:t>) depends directly on the national net savings rate (</w:t>
      </w:r>
      <w:r w:rsidRPr="00CE2F89">
        <w:rPr>
          <w:i/>
          <w:iCs/>
        </w:rPr>
        <w:t>s</w:t>
      </w:r>
      <w:r w:rsidRPr="00CE2F89">
        <w:t>) and inversely on the national capital-output ratio (</w:t>
      </w:r>
      <w:r w:rsidRPr="00CE2F89">
        <w:rPr>
          <w:i/>
          <w:iCs/>
        </w:rPr>
        <w:t>c</w:t>
      </w:r>
      <w:r w:rsidRPr="00CE2F89">
        <w:t>)</w:t>
      </w:r>
      <w:r>
        <w:rPr>
          <w:lang w:val="en-US"/>
        </w:rPr>
        <w:t>). The Harrod-</w:t>
      </w:r>
      <w:proofErr w:type="spellStart"/>
      <w:r>
        <w:rPr>
          <w:lang w:val="en-US"/>
        </w:rPr>
        <w:t>Domar</w:t>
      </w:r>
      <w:proofErr w:type="spellEnd"/>
      <w:r>
        <w:rPr>
          <w:lang w:val="en-US"/>
        </w:rPr>
        <w:t xml:space="preserve"> growth model finds that: GDP growth = net savings ratio/capital output ratio </w:t>
      </w:r>
    </w:p>
    <w:p w14:paraId="234D911A" w14:textId="77777777" w:rsidR="0062040A" w:rsidRDefault="0062040A" w:rsidP="0062040A">
      <w:pPr>
        <w:pStyle w:val="ListParagraph"/>
        <w:ind w:left="1080"/>
      </w:pPr>
      <w:r w:rsidRPr="00CE2F89">
        <w:rPr>
          <w:lang w:val="en-US"/>
        </w:rPr>
        <w:sym w:font="Wingdings" w:char="F0E0"/>
      </w:r>
      <w:r w:rsidRPr="00CE2F89">
        <w:rPr>
          <w:lang w:val="en-US"/>
        </w:rPr>
        <w:t xml:space="preserve"> </w:t>
      </w:r>
      <w:r w:rsidRPr="00CE2F89">
        <w:t xml:space="preserve">the rate of growth of GDP is determined jointly by the net national savings ratio, </w:t>
      </w:r>
      <w:r w:rsidRPr="00CE2F89">
        <w:rPr>
          <w:i/>
          <w:iCs/>
        </w:rPr>
        <w:t xml:space="preserve">s, </w:t>
      </w:r>
      <w:r w:rsidRPr="00CE2F89">
        <w:t xml:space="preserve">and the national capital-output ratio, </w:t>
      </w:r>
      <w:r w:rsidRPr="00CE2F89">
        <w:rPr>
          <w:i/>
          <w:iCs/>
        </w:rPr>
        <w:t xml:space="preserve">c. </w:t>
      </w:r>
      <w:r w:rsidRPr="00CE2F89">
        <w:t xml:space="preserve">More specifically, it says that in the absence of government, the growth rate of national income will be directly or positively related to the savings ratio (i.e., the more an economy is able to save—and invest—out of a given GDP, the greater the growth of that GDP will be) and inversely or negatively related to the economy’s capital-output ratio (i.e., the higher </w:t>
      </w:r>
      <w:r w:rsidRPr="00CE2F89">
        <w:rPr>
          <w:i/>
          <w:iCs/>
        </w:rPr>
        <w:t xml:space="preserve">c </w:t>
      </w:r>
      <w:r w:rsidRPr="00CE2F89">
        <w:t xml:space="preserve">is, the lower the rate of GDP growth will be). </w:t>
      </w:r>
    </w:p>
    <w:p w14:paraId="71C449F7" w14:textId="77777777" w:rsidR="0062040A" w:rsidRPr="00CE2F89" w:rsidRDefault="0062040A" w:rsidP="0062040A">
      <w:pPr>
        <w:pStyle w:val="ListParagraph"/>
        <w:ind w:left="1080"/>
      </w:pPr>
    </w:p>
    <w:p w14:paraId="1256796D" w14:textId="77777777" w:rsidR="0062040A" w:rsidRDefault="0062040A" w:rsidP="0062040A">
      <w:r>
        <w:tab/>
      </w:r>
      <w:r w:rsidRPr="00B84499">
        <w:t xml:space="preserve">The main obstacle to or constraint on development, according to this theory, is the relatively low level of new capital formation in most poor countries. </w:t>
      </w:r>
    </w:p>
    <w:p w14:paraId="1A7D0545" w14:textId="68499948" w:rsidR="0062040A" w:rsidRDefault="0062040A" w:rsidP="0062040A">
      <w:r>
        <w:tab/>
      </w:r>
      <w:r w:rsidRPr="00B84499">
        <w:t xml:space="preserve">Unfortunately, the mechanisms of development embodied in the theory of stages of growth did not always work. And the basic reason they didn’t work was not because more saving and investment isn’t a </w:t>
      </w:r>
      <w:r w:rsidRPr="00FD79A4">
        <w:t>necessary condition</w:t>
      </w:r>
      <w:r w:rsidRPr="00B84499">
        <w:rPr>
          <w:b/>
          <w:bCs/>
        </w:rPr>
        <w:t xml:space="preserve"> </w:t>
      </w:r>
      <w:r w:rsidRPr="00B84499">
        <w:t xml:space="preserve">for accelerated rates of economic growth but rather because it is not a </w:t>
      </w:r>
      <w:r w:rsidRPr="00FD79A4">
        <w:t>sufficient condition</w:t>
      </w:r>
      <w:r w:rsidRPr="00B84499">
        <w:t xml:space="preserve">. The Marshall Plan worked for Europe because the European countries receiving aid possessed the necessary structural, institutional, and attitudinal conditions (e.g., well-integrated commodity and money markets, highly developed transport facilities, a well-trained and educated workforce, the motivation to </w:t>
      </w:r>
      <w:r w:rsidRPr="00B84499">
        <w:lastRenderedPageBreak/>
        <w:t xml:space="preserve">succeed, an efficient government bureaucracy) to convert new capital effectively into higher levels of output. The Rostow and Harrod-Domar models implicitly assume the existence of these same attitudes and arrangements in underdeveloped nations. Yet in many cases they are lacking, as are complementary factors such as managerial competence, skilled labor, and the ability to plan and administer a wide assortment of development projects. </w:t>
      </w:r>
    </w:p>
    <w:p w14:paraId="493FE429" w14:textId="77777777" w:rsidR="0062040A" w:rsidRPr="006040A5" w:rsidRDefault="0062040A" w:rsidP="0062040A">
      <w:pPr>
        <w:rPr>
          <w:lang w:val="en-GB"/>
        </w:rPr>
      </w:pPr>
    </w:p>
    <w:p w14:paraId="3320C64C" w14:textId="77777777" w:rsidR="0062040A" w:rsidRPr="00FD23D8" w:rsidRDefault="0062040A" w:rsidP="0062040A">
      <w:pPr>
        <w:pStyle w:val="ListParagraph"/>
        <w:numPr>
          <w:ilvl w:val="0"/>
          <w:numId w:val="1"/>
        </w:numPr>
        <w:rPr>
          <w:sz w:val="28"/>
          <w:szCs w:val="28"/>
          <w:lang w:val="en-GB"/>
        </w:rPr>
      </w:pPr>
      <w:r w:rsidRPr="00FD23D8">
        <w:rPr>
          <w:sz w:val="28"/>
          <w:szCs w:val="28"/>
          <w:u w:val="single"/>
          <w:lang w:val="en-GB"/>
        </w:rPr>
        <w:t>Structural-Change Models</w:t>
      </w:r>
    </w:p>
    <w:p w14:paraId="0B641D71" w14:textId="77777777" w:rsidR="0062040A" w:rsidRPr="00FD23D8" w:rsidRDefault="0062040A" w:rsidP="0062040A">
      <w:pPr>
        <w:pStyle w:val="ListParagraph"/>
        <w:rPr>
          <w:lang w:val="en-GB"/>
        </w:rPr>
      </w:pPr>
    </w:p>
    <w:p w14:paraId="1ACA24A3" w14:textId="77777777" w:rsidR="0062040A" w:rsidRDefault="0062040A" w:rsidP="0062040A">
      <w:pPr>
        <w:rPr>
          <w:lang w:val="en-GB"/>
        </w:rPr>
      </w:pPr>
      <w:r w:rsidRPr="006040A5">
        <w:rPr>
          <w:lang w:val="en-GB"/>
        </w:rPr>
        <w:tab/>
      </w:r>
      <w:r w:rsidRPr="006040A5">
        <w:rPr>
          <w:b/>
          <w:bCs/>
          <w:lang w:val="en-GB"/>
        </w:rPr>
        <w:t xml:space="preserve">Structural-change theory </w:t>
      </w:r>
      <w:r w:rsidRPr="006040A5">
        <w:rPr>
          <w:lang w:val="en-GB"/>
        </w:rPr>
        <w:t>focuses on the mechanism by which underdeveloped economies transform their domestic economic structures from a heavy emphasis on traditional subsistence agriculture to a more modern, more urbanized, and more industrially diverse manufacturing and service economy.</w:t>
      </w:r>
    </w:p>
    <w:p w14:paraId="57EC379D" w14:textId="77777777" w:rsidR="0062040A" w:rsidRDefault="0062040A" w:rsidP="0062040A">
      <w:pPr>
        <w:rPr>
          <w:lang w:val="en-GB"/>
        </w:rPr>
      </w:pPr>
    </w:p>
    <w:p w14:paraId="1C1E56EE" w14:textId="77777777" w:rsidR="0062040A" w:rsidRPr="00466489" w:rsidRDefault="0062040A" w:rsidP="0062040A">
      <w:pPr>
        <w:rPr>
          <w:u w:val="single"/>
          <w:lang w:val="en-GB"/>
        </w:rPr>
      </w:pPr>
      <w:r w:rsidRPr="00466489">
        <w:rPr>
          <w:u w:val="single"/>
          <w:lang w:val="en-GB"/>
        </w:rPr>
        <w:t xml:space="preserve">The Lewis two-sector model: </w:t>
      </w:r>
    </w:p>
    <w:p w14:paraId="52F9BA95" w14:textId="77777777" w:rsidR="0062040A" w:rsidRDefault="0062040A" w:rsidP="0062040A">
      <w:pPr>
        <w:rPr>
          <w:lang w:val="en-GB"/>
        </w:rPr>
      </w:pPr>
      <w:r w:rsidRPr="00466489">
        <w:rPr>
          <w:lang w:val="en-GB"/>
        </w:rPr>
        <w:tab/>
        <w:t xml:space="preserve">In the Lewis model, the underdeveloped economy consists of two sectors: a traditional, overpopulated rural subsistence sector characterized by zero marginal labour productivity—a situation that permits Lewis to classify this as </w:t>
      </w:r>
      <w:r w:rsidRPr="00FD79A4">
        <w:rPr>
          <w:lang w:val="en-GB"/>
        </w:rPr>
        <w:t>surplus labour</w:t>
      </w:r>
      <w:r w:rsidRPr="00466489">
        <w:rPr>
          <w:b/>
          <w:bCs/>
          <w:lang w:val="en-GB"/>
        </w:rPr>
        <w:t xml:space="preserve"> </w:t>
      </w:r>
      <w:r w:rsidRPr="00466489">
        <w:rPr>
          <w:lang w:val="en-GB"/>
        </w:rPr>
        <w:t xml:space="preserve">in the sense that it can be withdrawn from the traditional agricultural sector without any loss of output—and a high-productivity modern urban industrial sector into which labour from the subsistence sector is gradually transferred. The primary focus of the model is on both the process of labour transfer and the growth of output and employment in the modern sector. </w:t>
      </w:r>
    </w:p>
    <w:p w14:paraId="5177C2F7" w14:textId="77777777" w:rsidR="0062040A" w:rsidRDefault="0062040A" w:rsidP="0062040A">
      <w:r>
        <w:rPr>
          <w:lang w:val="en-GB"/>
        </w:rPr>
        <w:tab/>
      </w:r>
      <w:r w:rsidRPr="00466489">
        <w:t>Th</w:t>
      </w:r>
      <w:r w:rsidRPr="00DD611B">
        <w:rPr>
          <w:lang w:val="en-US"/>
        </w:rPr>
        <w:t>e</w:t>
      </w:r>
      <w:r w:rsidRPr="00466489">
        <w:t xml:space="preserve"> process of modern-sector </w:t>
      </w:r>
      <w:r w:rsidRPr="00FD79A4">
        <w:t>self-sustaining growth</w:t>
      </w:r>
      <w:r w:rsidRPr="00466489">
        <w:rPr>
          <w:b/>
          <w:bCs/>
        </w:rPr>
        <w:t xml:space="preserve"> </w:t>
      </w:r>
      <w:r w:rsidRPr="00466489">
        <w:t xml:space="preserve">and employment expansion is assumed to continue until all surplus rural labor is absorbed in the new industrial sector. Thereafter, additional workers can be withdrawn from the agricultural sector only at a higher cost of lost food production because the declining labor-to-land ratio means that the marginal product of rural labor is no longer zero. This is known as the “Lewis turning point.” Thus the labor supply curve becomes positively sloped as modern-sector wages and employment continue to grow. The structural transformation of the economy will have taken place, with the balance of economic activity shifting from traditional rural agriculture to modern urban industry. </w:t>
      </w:r>
    </w:p>
    <w:p w14:paraId="7A7F5997" w14:textId="70154C8C" w:rsidR="0062040A" w:rsidRDefault="0062040A" w:rsidP="0062040A">
      <w:r>
        <w:tab/>
      </w:r>
      <w:r w:rsidRPr="00DD611B">
        <w:rPr>
          <w:lang w:val="en-US"/>
        </w:rPr>
        <w:t xml:space="preserve">However, there are a few </w:t>
      </w:r>
      <w:r>
        <w:rPr>
          <w:lang w:val="en-US"/>
        </w:rPr>
        <w:t xml:space="preserve">drawbacks to the Lewis model. </w:t>
      </w:r>
      <w:r w:rsidRPr="00DD611B">
        <w:t xml:space="preserve">First, the model implicitly assumes that the rate of labor transfer and employment creation in the modern sector is proportional to the rate of modern-sector capital accumulation. The faster the rate of capital accumulation, the higher the growth rate of the modern sector and the faster the rate of new job creation. But what if capitalist profits are reinvested in more sophisticated laborsaving capital equipment rather than just duplicating the existing capital, as is implicitly assumed in the Lewis model? (We are, of course, here accepting the debatable assumption that capitalist profits are in fact reinvested in the local economy and not sent abroad as a form of “capital flight” to be added to the deposits of Western banks.) </w:t>
      </w:r>
      <w:r w:rsidRPr="00556A93">
        <w:rPr>
          <w:lang w:val="en-US"/>
        </w:rPr>
        <w:t>E</w:t>
      </w:r>
      <w:r w:rsidRPr="00556A93">
        <w:t>ven though total output has grown substantially</w:t>
      </w:r>
      <w:r w:rsidRPr="00556A93">
        <w:rPr>
          <w:lang w:val="en-US"/>
        </w:rPr>
        <w:t xml:space="preserve">, </w:t>
      </w:r>
      <w:r w:rsidRPr="00556A93">
        <w:t>total wages and employment remain unchanged. All of the extra output accrues to capitalists in the form of profits</w:t>
      </w:r>
      <w:r w:rsidRPr="00556A93">
        <w:rPr>
          <w:lang w:val="en-US"/>
        </w:rPr>
        <w:t xml:space="preserve">; </w:t>
      </w:r>
      <w:r w:rsidRPr="00556A93">
        <w:rPr>
          <w:i/>
          <w:iCs/>
        </w:rPr>
        <w:t xml:space="preserve">all </w:t>
      </w:r>
      <w:r w:rsidRPr="00556A93">
        <w:t xml:space="preserve">the extra income and output growth are distributed to the few owners of capital, while income and employment levels for the masses of workers remain largely unchanged. Although total GDP would rise, there would be little or no improvement in aggregate social welfare measured, say, in terms of more widely distributed gains in income and employment. </w:t>
      </w:r>
    </w:p>
    <w:p w14:paraId="029CEA39" w14:textId="77777777" w:rsidR="0062040A" w:rsidRPr="00556A93" w:rsidRDefault="0062040A" w:rsidP="0062040A">
      <w:r>
        <w:tab/>
      </w:r>
      <w:r w:rsidRPr="00556A93">
        <w:t xml:space="preserve">The second questionable assumption of the Lewis model is the notion that surplus labor exists in rural areas while there is full employment in the urban areas. Most contemporary research indicates that there is little surplus labor in rural locations. True, there are both seasonal and geographic exceptions to this rule (e.g., at least until recently in parts of China and the Asian subcontinent, some Caribbean islands, and isolated regions of Latin </w:t>
      </w:r>
      <w:r w:rsidRPr="00556A93">
        <w:lastRenderedPageBreak/>
        <w:t xml:space="preserve">America where land ownership is very unequal), but by and large, development economists today agree that Lewis’s assumption of rural surplus labor is generally not valid. </w:t>
      </w:r>
    </w:p>
    <w:p w14:paraId="58D243A1" w14:textId="517878EE" w:rsidR="0062040A" w:rsidRPr="001134BD" w:rsidRDefault="0062040A" w:rsidP="0062040A">
      <w:r>
        <w:tab/>
      </w:r>
      <w:r w:rsidRPr="001134BD">
        <w:t xml:space="preserve">The third dubious assumption is the notion of a competitive modern-sector labor market that guarantees the continued existence of constant real urban wages up to the point where the supply of rural surplus labor is exhausted. Prior to the 1980s, a striking feature of urban labor markets and wage determination in almost all developing countries was the tendency for these wages to rise substantially over time, both in absolute terms and relative to average rural incomes, even in the presence of rising levels of open modern-sector unemployment and low or zero marginal productivity in agriculture. Institutional factors such as union bargaining power, civil service wage scales, and multinational corporations’ hiring practices tend to negate competitive forces in modern-sector labor markets in developing countries. </w:t>
      </w:r>
    </w:p>
    <w:p w14:paraId="157956CD" w14:textId="75C631EA" w:rsidR="0062040A" w:rsidRPr="001134BD" w:rsidRDefault="0062040A" w:rsidP="0062040A">
      <w:r>
        <w:tab/>
      </w:r>
      <w:r w:rsidRPr="001134BD">
        <w:t xml:space="preserve">A final concern with the Lewis model is its assumption of diminishing returns in the modern industrial sector. Yet there is much evidence that increasing returns prevail in that sector, posing special problems for development policymaking </w:t>
      </w:r>
    </w:p>
    <w:p w14:paraId="6B03C2BF" w14:textId="77777777" w:rsidR="0062040A" w:rsidRDefault="0062040A" w:rsidP="0062040A"/>
    <w:p w14:paraId="0A531625" w14:textId="77777777" w:rsidR="0062040A" w:rsidRPr="001134BD" w:rsidRDefault="0062040A" w:rsidP="0062040A">
      <w:pPr>
        <w:rPr>
          <w:u w:val="single"/>
          <w:lang w:val="en-GB"/>
        </w:rPr>
      </w:pPr>
      <w:r w:rsidRPr="001134BD">
        <w:rPr>
          <w:u w:val="single"/>
          <w:lang w:val="en-GB"/>
        </w:rPr>
        <w:t>Patterns-of-development analysis:</w:t>
      </w:r>
    </w:p>
    <w:p w14:paraId="30854D8D" w14:textId="4859BB53" w:rsidR="0062040A" w:rsidRPr="00FD23D8" w:rsidRDefault="0062040A" w:rsidP="0062040A">
      <w:pPr>
        <w:rPr>
          <w:lang w:val="en-GB"/>
        </w:rPr>
      </w:pPr>
      <w:r>
        <w:rPr>
          <w:lang w:val="en-GB"/>
        </w:rPr>
        <w:tab/>
      </w:r>
      <w:r w:rsidRPr="001134BD">
        <w:t xml:space="preserve">Like the earlier Lewis model, the </w:t>
      </w:r>
      <w:r w:rsidRPr="001134BD">
        <w:rPr>
          <w:b/>
          <w:bCs/>
        </w:rPr>
        <w:t xml:space="preserve">patterns-of-development analysis </w:t>
      </w:r>
      <w:r w:rsidRPr="001134BD">
        <w:t xml:space="preserve">of structural change focuses on the sequential process through which the economic, industrial, and institutional structure of an underdeveloped economy is transformed over time to permit new industries to replace traditional agriculture as the engine of economic growth. However, in contrast to the Lewis model and the original stages view of development, increased savings and investment are perceived by patterns-of-development analysts as necessary but not sufficient conditions for economic growth. Empirical structural-change analysts emphasize both domestic and international constraints on development. The domestic ones include economic constraints such as a country’s resource endowment and its physical and population size as well as institutional constraints such as government policies and objectives. International constraints on development include access to external capital, technology, and international trade. Differences in development level among developing countries are largely ascribed to these domestic and international constraints. However, it is the international constraints that make the transition of currently developing countries differ from that of now industrialized countries. To the extent that developing countries have access to the opportunities presented by the industrial countries as sources of capital, technology, and manufactured imports as well as markets for exports, they can make the transition at an even faster rate than that achieved by the industrial countries during the early periods of their economic development. Thus, unlike the earlier stages </w:t>
      </w:r>
      <w:r w:rsidRPr="00FD79A4">
        <w:t xml:space="preserve">model, the structural-change model recognizes the fact that developing countries are part of an integrated international system that can promote (as </w:t>
      </w:r>
      <w:r w:rsidRPr="00FD79A4">
        <w:rPr>
          <w:lang w:val="en-GB"/>
        </w:rPr>
        <w:t>well as hinder) their development.</w:t>
      </w:r>
      <w:r w:rsidRPr="00FD23D8">
        <w:rPr>
          <w:lang w:val="en-GB"/>
        </w:rPr>
        <w:t xml:space="preserve"> </w:t>
      </w:r>
    </w:p>
    <w:p w14:paraId="04FCF856" w14:textId="77777777" w:rsidR="0062040A" w:rsidRPr="00FD23D8" w:rsidRDefault="0062040A" w:rsidP="0062040A">
      <w:pPr>
        <w:rPr>
          <w:lang w:val="en-GB"/>
        </w:rPr>
      </w:pPr>
    </w:p>
    <w:p w14:paraId="77CFB41C" w14:textId="77777777" w:rsidR="0062040A" w:rsidRPr="00FD23D8" w:rsidRDefault="0062040A" w:rsidP="0062040A">
      <w:pPr>
        <w:pStyle w:val="ListParagraph"/>
        <w:numPr>
          <w:ilvl w:val="0"/>
          <w:numId w:val="1"/>
        </w:numPr>
        <w:rPr>
          <w:sz w:val="28"/>
          <w:szCs w:val="28"/>
          <w:lang w:val="en-GB"/>
        </w:rPr>
      </w:pPr>
      <w:r w:rsidRPr="00FD23D8">
        <w:rPr>
          <w:sz w:val="28"/>
          <w:szCs w:val="28"/>
          <w:u w:val="single"/>
          <w:lang w:val="en-GB"/>
        </w:rPr>
        <w:t>International-Dependence Revolution</w:t>
      </w:r>
    </w:p>
    <w:p w14:paraId="763D9133" w14:textId="77777777" w:rsidR="0062040A" w:rsidRDefault="0062040A" w:rsidP="0062040A">
      <w:pPr>
        <w:rPr>
          <w:lang w:val="en-GB"/>
        </w:rPr>
      </w:pPr>
      <w:r>
        <w:rPr>
          <w:lang w:val="en-GB"/>
        </w:rPr>
        <w:tab/>
      </w:r>
    </w:p>
    <w:p w14:paraId="32F85B9F" w14:textId="487E85A4" w:rsidR="0062040A" w:rsidRDefault="0062040A" w:rsidP="0062040A">
      <w:r>
        <w:rPr>
          <w:lang w:val="en-GB"/>
        </w:rPr>
        <w:tab/>
      </w:r>
      <w:r w:rsidRPr="00FD23D8">
        <w:t xml:space="preserve">During the 1970s, international-dependence models gained increasing support, especially among developing-country intellectuals, as a result of growing disenchantment with both the stages and structural-change models. While this theory to a large degree went out of favor during the 1980s and 1990s, versions of it have enjoyed a resurgence in the twenty-first century as some of its views have been adopted, albeit in modified form, by theorists and leaders of the antiglobalization movement.8 Essentially, international-dependence models view developing countries as beset by institutional, political, and economic rigidities, both domestic and international, and caught up in a </w:t>
      </w:r>
      <w:r w:rsidRPr="00FD79A4">
        <w:t>dependence</w:t>
      </w:r>
      <w:r w:rsidRPr="00FD23D8">
        <w:rPr>
          <w:b/>
          <w:bCs/>
        </w:rPr>
        <w:t xml:space="preserve"> </w:t>
      </w:r>
      <w:r w:rsidRPr="00FD23D8">
        <w:t xml:space="preserve">and </w:t>
      </w:r>
      <w:r w:rsidRPr="00FD79A4">
        <w:t>dominance</w:t>
      </w:r>
      <w:r w:rsidRPr="00FD23D8">
        <w:rPr>
          <w:b/>
          <w:bCs/>
        </w:rPr>
        <w:t xml:space="preserve"> </w:t>
      </w:r>
      <w:r w:rsidRPr="00FD23D8">
        <w:t xml:space="preserve">relationship with rich countries. Within this general approach are three major </w:t>
      </w:r>
      <w:r w:rsidRPr="00FD23D8">
        <w:lastRenderedPageBreak/>
        <w:t>streams of thought: the neo</w:t>
      </w:r>
      <w:r w:rsidRPr="002403D5">
        <w:rPr>
          <w:lang w:val="en-US"/>
        </w:rPr>
        <w:t>-</w:t>
      </w:r>
      <w:r w:rsidRPr="00FD23D8">
        <w:t xml:space="preserve">colonial dependence model, the false-paradigm model, and the dualistic-development thesis. </w:t>
      </w:r>
    </w:p>
    <w:p w14:paraId="7CDFB39B" w14:textId="77777777" w:rsidR="0062040A" w:rsidRDefault="0062040A" w:rsidP="0062040A"/>
    <w:p w14:paraId="2CFA4123" w14:textId="77777777" w:rsidR="0062040A" w:rsidRPr="00FD23D8" w:rsidRDefault="0062040A" w:rsidP="0062040A">
      <w:pPr>
        <w:rPr>
          <w:u w:val="single"/>
          <w:lang w:val="en-GB"/>
        </w:rPr>
      </w:pPr>
      <w:r w:rsidRPr="00FD23D8">
        <w:rPr>
          <w:u w:val="single"/>
          <w:lang w:val="en-GB"/>
        </w:rPr>
        <w:t>The Neo-colonial Dependence Model</w:t>
      </w:r>
    </w:p>
    <w:p w14:paraId="17A1B110" w14:textId="151FF866" w:rsidR="0062040A" w:rsidRPr="00CE0960" w:rsidRDefault="0062040A" w:rsidP="0062040A">
      <w:r>
        <w:rPr>
          <w:lang w:val="en-GB"/>
        </w:rPr>
        <w:tab/>
      </w:r>
      <w:r w:rsidRPr="002403D5">
        <w:t xml:space="preserve">The first major stream, which </w:t>
      </w:r>
      <w:r w:rsidRPr="002403D5">
        <w:rPr>
          <w:lang w:val="en-US"/>
        </w:rPr>
        <w:t>is</w:t>
      </w:r>
      <w:r w:rsidRPr="002403D5">
        <w:t xml:space="preserve"> call</w:t>
      </w:r>
      <w:r w:rsidRPr="002403D5">
        <w:rPr>
          <w:lang w:val="en-US"/>
        </w:rPr>
        <w:t>e</w:t>
      </w:r>
      <w:r>
        <w:rPr>
          <w:lang w:val="en-US"/>
        </w:rPr>
        <w:t>d</w:t>
      </w:r>
      <w:r w:rsidRPr="002403D5">
        <w:t xml:space="preserve"> the </w:t>
      </w:r>
      <w:r w:rsidRPr="00FD79A4">
        <w:t>neocolonial dependence model</w:t>
      </w:r>
      <w:r w:rsidRPr="002403D5">
        <w:t>, is an indirect outgrowth of Marxist thinking. It attributes the existence and continuance of underdevelopment</w:t>
      </w:r>
      <w:r w:rsidRPr="002403D5">
        <w:rPr>
          <w:b/>
          <w:bCs/>
        </w:rPr>
        <w:t xml:space="preserve"> </w:t>
      </w:r>
      <w:r w:rsidRPr="002403D5">
        <w:t xml:space="preserve">primarily to the historical evolution of a highly unequal international capitalist system of rich country–poor country relationships. </w:t>
      </w:r>
      <w:r w:rsidRPr="002403D5">
        <w:rPr>
          <w:lang w:val="en-US"/>
        </w:rPr>
        <w:t xml:space="preserve">The coexistence of (sometimes exploitative and neglectful) rich </w:t>
      </w:r>
      <w:r>
        <w:rPr>
          <w:lang w:val="en-US"/>
        </w:rPr>
        <w:t xml:space="preserve">nations and poor nations in an international system dominated by unequal power relationships renders attempts by poor nations to be self-reliant and independent difficult and sometimes even impossible. </w:t>
      </w:r>
      <w:r w:rsidRPr="00CE0960">
        <w:t xml:space="preserve">Certain groups in the developing countries (including landlords, entrepreneurs, military rulers, merchants, salaried public officials, and trade union leaders) who enjoy high incomes, social status, and political power constitute a small elite ruling class whose principal interest, knowingly or not, is in the perpetuation of the international capitalist system of inequality and conformity in which they are rewarded. </w:t>
      </w:r>
    </w:p>
    <w:p w14:paraId="31126205" w14:textId="77777777" w:rsidR="0062040A" w:rsidRPr="00CE0960" w:rsidRDefault="0062040A" w:rsidP="0062040A">
      <w:r>
        <w:tab/>
      </w:r>
      <w:r w:rsidRPr="00CE0960">
        <w:t xml:space="preserve">In short, the neo-Marxist, neocolonial view of underdevelopment attributes a large part of the developing world’s continuing poverty to the existence and policies of the industrial capitalist countries of the northern hemisphere and their extensions in the form of small but powerful elite or </w:t>
      </w:r>
      <w:r w:rsidRPr="00FD79A4">
        <w:t>comprador groups</w:t>
      </w:r>
      <w:r w:rsidRPr="00CE0960">
        <w:rPr>
          <w:b/>
          <w:bCs/>
        </w:rPr>
        <w:t xml:space="preserve"> </w:t>
      </w:r>
      <w:r w:rsidRPr="00CE0960">
        <w:t xml:space="preserve">in the less developed countries. </w:t>
      </w:r>
    </w:p>
    <w:p w14:paraId="29471DEE" w14:textId="77777777" w:rsidR="0062040A" w:rsidRDefault="0062040A" w:rsidP="0062040A"/>
    <w:p w14:paraId="2853EB36" w14:textId="77777777" w:rsidR="0062040A" w:rsidRPr="00CE42CB" w:rsidRDefault="0062040A" w:rsidP="0062040A">
      <w:pPr>
        <w:rPr>
          <w:u w:val="single"/>
          <w:lang w:val="en-GB"/>
        </w:rPr>
      </w:pPr>
      <w:r w:rsidRPr="00CE42CB">
        <w:rPr>
          <w:u w:val="single"/>
          <w:lang w:val="en-GB"/>
        </w:rPr>
        <w:t>The False-Paradigm Model</w:t>
      </w:r>
    </w:p>
    <w:p w14:paraId="36732F7D" w14:textId="552A4877" w:rsidR="0062040A" w:rsidRDefault="0062040A" w:rsidP="0062040A">
      <w:pPr>
        <w:rPr>
          <w:lang w:val="en-US"/>
        </w:rPr>
      </w:pPr>
      <w:r>
        <w:rPr>
          <w:lang w:val="en-GB"/>
        </w:rPr>
        <w:tab/>
      </w:r>
      <w:r w:rsidRPr="00CE42CB">
        <w:t xml:space="preserve">A second and less radical international-dependence approach to development, which we might call the </w:t>
      </w:r>
      <w:r w:rsidRPr="00CE42CB">
        <w:rPr>
          <w:b/>
          <w:bCs/>
        </w:rPr>
        <w:t>false-paradigm model</w:t>
      </w:r>
      <w:r w:rsidRPr="00CE42CB">
        <w:t xml:space="preserve">, attributes underdevelopment to faulty and inappropriate advice provided by well-meaning but often uninformed, biased, and ethnocentric international “expert” advisers from developed-country assistance agencies and multinational donor organizations. These experts are said to offer complex but ultimately misleading models of development that often lead to inappropriate or incorrect policies. </w:t>
      </w:r>
      <w:proofErr w:type="gramStart"/>
      <w:r w:rsidRPr="00CE42CB">
        <w:rPr>
          <w:lang w:val="en-US"/>
        </w:rPr>
        <w:t>Often times</w:t>
      </w:r>
      <w:proofErr w:type="gramEnd"/>
      <w:r w:rsidRPr="00CE42CB">
        <w:rPr>
          <w:lang w:val="en-US"/>
        </w:rPr>
        <w:t xml:space="preserve">, because of institutional factors in developing countries, the </w:t>
      </w:r>
      <w:r>
        <w:rPr>
          <w:lang w:val="en-US"/>
        </w:rPr>
        <w:t>advice and models offered by Western economists (unknowingly) merely serve the vested interests of existing power groups, both domestic and international.</w:t>
      </w:r>
    </w:p>
    <w:p w14:paraId="7BF1A313" w14:textId="77777777" w:rsidR="0062040A" w:rsidRDefault="0062040A" w:rsidP="0062040A">
      <w:pPr>
        <w:rPr>
          <w:lang w:val="en-US"/>
        </w:rPr>
      </w:pPr>
    </w:p>
    <w:p w14:paraId="000A19D9" w14:textId="77777777" w:rsidR="0062040A" w:rsidRDefault="0062040A" w:rsidP="0062040A">
      <w:pPr>
        <w:rPr>
          <w:u w:val="single"/>
          <w:lang w:val="en-US"/>
        </w:rPr>
      </w:pPr>
      <w:r>
        <w:rPr>
          <w:u w:val="single"/>
          <w:lang w:val="en-US"/>
        </w:rPr>
        <w:t>The Dualistic-Development Thesis</w:t>
      </w:r>
    </w:p>
    <w:p w14:paraId="1E8E5CBF" w14:textId="4FAC492B" w:rsidR="0062040A" w:rsidRPr="008E76F6" w:rsidRDefault="0062040A" w:rsidP="0062040A">
      <w:pPr>
        <w:rPr>
          <w:lang w:val="en-US"/>
        </w:rPr>
      </w:pPr>
      <w:r>
        <w:rPr>
          <w:lang w:val="en-US"/>
        </w:rPr>
        <w:tab/>
      </w:r>
      <w:r w:rsidRPr="00332931">
        <w:t xml:space="preserve">Implicit in structural-change theories and explicit in international-dependence theories is the notion of a world of dual societies, of rich nations and poor nations and, in the developing countries, pockets of wealth within broad areas of poverty. </w:t>
      </w:r>
      <w:r w:rsidRPr="00332931">
        <w:rPr>
          <w:b/>
          <w:bCs/>
        </w:rPr>
        <w:t xml:space="preserve">Dualism </w:t>
      </w:r>
      <w:r w:rsidRPr="00332931">
        <w:t xml:space="preserve">is a concept widely discussed in development economics. It represents the existence and persistence of substantial and even increasing divergences between rich and poor nations and rich and poor peoples on various levels. </w:t>
      </w:r>
    </w:p>
    <w:p w14:paraId="5688C6BB" w14:textId="77777777" w:rsidR="0062040A" w:rsidRDefault="0062040A" w:rsidP="0062040A">
      <w:pPr>
        <w:rPr>
          <w:u w:val="single"/>
          <w:lang w:val="en-US"/>
        </w:rPr>
      </w:pPr>
      <w:r>
        <w:rPr>
          <w:u w:val="single"/>
          <w:lang w:val="en-US"/>
        </w:rPr>
        <w:t xml:space="preserve"> </w:t>
      </w:r>
    </w:p>
    <w:p w14:paraId="583CD603" w14:textId="77777777" w:rsidR="0062040A" w:rsidRDefault="0062040A" w:rsidP="0062040A">
      <w:pPr>
        <w:rPr>
          <w:lang w:val="en-US"/>
        </w:rPr>
      </w:pPr>
    </w:p>
    <w:p w14:paraId="30EB2860" w14:textId="06EB5F58" w:rsidR="0062040A" w:rsidRPr="008E76F6" w:rsidRDefault="0062040A" w:rsidP="0062040A">
      <w:r>
        <w:rPr>
          <w:lang w:val="en-US"/>
        </w:rPr>
        <w:tab/>
      </w:r>
      <w:r w:rsidRPr="008E76F6">
        <w:t xml:space="preserve">Dependence theories have two major weaknesses. First, although they offer an appealing explanation of why many poor countries remain underdeveloped, they give no insight into how countries initiate and sustain development. Second and perhaps more important, the actual economic experience of developing countries that have pursued revolutionary campaigns of industrial nationalization and state-run production has been mostly negative. </w:t>
      </w:r>
    </w:p>
    <w:p w14:paraId="4878CB4F" w14:textId="28106987" w:rsidR="0062040A" w:rsidRPr="008E76F6" w:rsidRDefault="0062040A" w:rsidP="0062040A">
      <w:r w:rsidRPr="008E76F6">
        <w:t xml:space="preserve">If we are to take dependence theory at face value, we would conclude that the best course for developing countries is to become entangled as little as possible with the developed countries and instead pursue a policy of autarky, or inwardly directed development, or at most trade </w:t>
      </w:r>
      <w:r w:rsidRPr="008E76F6">
        <w:lastRenderedPageBreak/>
        <w:t xml:space="preserve">only with other developing countries. But large countries that embarked on autarkic policies, such as China and, to a significant extent, India, experienced stagnant growth and ultimately decided to open their economies, China beginning this process after 1978 and India after 1990. At the opposite extreme, economies such as Taiwan and South Korea, and China more recently, that have most emphasized exports to developed countries have grown strongly. </w:t>
      </w:r>
    </w:p>
    <w:p w14:paraId="5D1C66C5" w14:textId="77777777" w:rsidR="0062040A" w:rsidRDefault="0062040A" w:rsidP="0062040A">
      <w:pPr>
        <w:pStyle w:val="ListParagraph"/>
      </w:pPr>
    </w:p>
    <w:p w14:paraId="259F81F0" w14:textId="77777777" w:rsidR="0062040A" w:rsidRPr="00665D9F" w:rsidRDefault="0062040A" w:rsidP="0062040A">
      <w:pPr>
        <w:pStyle w:val="ListParagraph"/>
        <w:numPr>
          <w:ilvl w:val="0"/>
          <w:numId w:val="1"/>
        </w:numPr>
        <w:rPr>
          <w:u w:val="single"/>
          <w:lang w:val="en-GB"/>
        </w:rPr>
      </w:pPr>
      <w:r w:rsidRPr="00665D9F">
        <w:rPr>
          <w:sz w:val="28"/>
          <w:szCs w:val="28"/>
          <w:u w:val="single"/>
          <w:lang w:val="en-GB"/>
        </w:rPr>
        <w:t>The Neoclassical Counterrevolution</w:t>
      </w:r>
      <w:r>
        <w:rPr>
          <w:sz w:val="28"/>
          <w:szCs w:val="28"/>
          <w:u w:val="single"/>
          <w:lang w:val="en-GB"/>
        </w:rPr>
        <w:t>: Market Fundamentalism</w:t>
      </w:r>
    </w:p>
    <w:p w14:paraId="73489D04" w14:textId="77777777" w:rsidR="0062040A" w:rsidRDefault="0062040A" w:rsidP="0062040A">
      <w:pPr>
        <w:rPr>
          <w:lang w:val="en-GB"/>
        </w:rPr>
      </w:pPr>
    </w:p>
    <w:p w14:paraId="43BC9192" w14:textId="77777777" w:rsidR="0062040A" w:rsidRPr="00665D9F" w:rsidRDefault="0062040A" w:rsidP="0062040A">
      <w:r>
        <w:rPr>
          <w:lang w:val="en-GB"/>
        </w:rPr>
        <w:tab/>
      </w:r>
      <w:r w:rsidRPr="00665D9F">
        <w:t xml:space="preserve">The 1980s resurgence of neoclassical free-market orientation toward development problems and policies, counter to the interventionist dependence revolution of the 1970s. n developing countries, it called for freer markets and the dismantling of public ownership, statist planning, and government regulation of economic activities. </w:t>
      </w:r>
    </w:p>
    <w:p w14:paraId="34297644" w14:textId="61718FBA" w:rsidR="0062040A" w:rsidRDefault="0062040A" w:rsidP="0062040A">
      <w:pPr>
        <w:rPr>
          <w:lang w:val="en-US"/>
        </w:rPr>
      </w:pPr>
      <w:r>
        <w:tab/>
      </w:r>
      <w:r w:rsidRPr="00665D9F">
        <w:t xml:space="preserve">The central argument of the neoclassical counterrevolution is that underdevelopment results from poor resource allocation due to incorrect pricing policies and too much state intervention by overly active developing-nation governments. Rather, the leading writers of the counterrevolution school, including Lord Peter Bauer, Deepak Lal, Ian Little, Harry Johnson, Bela Balassa, Jagdish Bhagwati, and Anne Krueger, argued that it is this very state intervention in economic activity that slows the pace of economic growth. The neoliberals argue that by permitting competitive </w:t>
      </w:r>
      <w:r w:rsidRPr="00FD79A4">
        <w:t>free markets</w:t>
      </w:r>
      <w:r w:rsidRPr="00665D9F">
        <w:rPr>
          <w:b/>
          <w:bCs/>
        </w:rPr>
        <w:t xml:space="preserve"> </w:t>
      </w:r>
      <w:r w:rsidRPr="00665D9F">
        <w:t xml:space="preserve">to flourish, privatizing state-owned enterprises, promoting free trade and export expansion, welcoming investors from developed countries, and eliminating the plethora of government regulations and price distortions in factor, product, and financial markets, both economic efficiency and economic growth will be stimulated. Contrary to the claims of the dependence theorists, the neoclassical counterrevolutionaries argue that the developing world is underdeveloped not because of the predatory activities of the developed world and the international agencies that it controls but rather because of the heavy hand of the state and the corruption, inefficiency, and lack of economic incentives that permeate the economies of developing nations. What is needed, therefore, is not a reform of the international economic system, a restructuring of dualistic developing economies, an increase in foreign aid, attempts to control population growth, or a more effective development planning system. Rather, it is simply a matter of promoting free markets and laissez-faire economics within the context of permissive governments that allow the “magic of the marketplace” and the “invisible hand” of market prices to guide resource allocation and stimulate economic development. </w:t>
      </w:r>
      <w:r w:rsidRPr="00222CE7">
        <w:t>The neoclassical counterrevolution can be divided into three component approaches: the free-market approach, the public-choice (or “new political economy”) approach, and the “market-friendly” approach</w:t>
      </w:r>
      <w:r w:rsidRPr="00222CE7">
        <w:rPr>
          <w:lang w:val="en-US"/>
        </w:rPr>
        <w:t>.</w:t>
      </w:r>
    </w:p>
    <w:p w14:paraId="35AADB95" w14:textId="77777777" w:rsidR="0062040A" w:rsidRDefault="0062040A" w:rsidP="0062040A">
      <w:pPr>
        <w:rPr>
          <w:lang w:val="en-US"/>
        </w:rPr>
      </w:pPr>
    </w:p>
    <w:p w14:paraId="76B6A48A" w14:textId="77777777" w:rsidR="0062040A" w:rsidRDefault="0062040A" w:rsidP="0062040A">
      <w:pPr>
        <w:rPr>
          <w:u w:val="single"/>
          <w:lang w:val="en-US"/>
        </w:rPr>
      </w:pPr>
      <w:r>
        <w:rPr>
          <w:u w:val="single"/>
          <w:lang w:val="en-US"/>
        </w:rPr>
        <w:t>Free-market analysis</w:t>
      </w:r>
    </w:p>
    <w:p w14:paraId="57D331ED" w14:textId="77777777" w:rsidR="0062040A" w:rsidRDefault="0062040A" w:rsidP="0062040A">
      <w:pPr>
        <w:rPr>
          <w:lang w:val="en-US"/>
        </w:rPr>
      </w:pPr>
      <w:r>
        <w:rPr>
          <w:lang w:val="en-US"/>
        </w:rPr>
        <w:tab/>
      </w:r>
      <w:r w:rsidRPr="002374CF">
        <w:t>Free-market analysis</w:t>
      </w:r>
      <w:r w:rsidRPr="00222CE7">
        <w:rPr>
          <w:b/>
          <w:bCs/>
        </w:rPr>
        <w:t xml:space="preserve"> </w:t>
      </w:r>
      <w:r w:rsidRPr="00222CE7">
        <w:t xml:space="preserve">argues that markets alone are efficient—product markets provide the best signals for investments in new activities; labor markets respond to these new industries in appropriate ways; producers know best what to produce and how to produce it efficiently; and product and factor prices reflect accurate scarcity values of goods and resources now and in the future. Competition is effective, if not perfect; technology is freely available and nearly costless to absorb; information is also perfect and nearly costless to obtain. </w:t>
      </w:r>
      <w:r w:rsidRPr="00222CE7">
        <w:rPr>
          <w:lang w:val="en-US"/>
        </w:rPr>
        <w:t xml:space="preserve">Under these circumstances, any government intervention in the economy is </w:t>
      </w:r>
      <w:proofErr w:type="gramStart"/>
      <w:r>
        <w:rPr>
          <w:lang w:val="en-US"/>
        </w:rPr>
        <w:t>by definition distortionary</w:t>
      </w:r>
      <w:proofErr w:type="gramEnd"/>
      <w:r>
        <w:rPr>
          <w:lang w:val="en-US"/>
        </w:rPr>
        <w:t xml:space="preserve"> and counterproductive. </w:t>
      </w:r>
    </w:p>
    <w:p w14:paraId="5C2F2B3C" w14:textId="77777777" w:rsidR="0062040A" w:rsidRDefault="0062040A" w:rsidP="0062040A">
      <w:pPr>
        <w:rPr>
          <w:lang w:val="en-US"/>
        </w:rPr>
      </w:pPr>
    </w:p>
    <w:p w14:paraId="189A8A58" w14:textId="77777777" w:rsidR="0062040A" w:rsidRDefault="0062040A" w:rsidP="0062040A">
      <w:pPr>
        <w:rPr>
          <w:u w:val="single"/>
          <w:lang w:val="en-US"/>
        </w:rPr>
      </w:pPr>
      <w:r>
        <w:rPr>
          <w:u w:val="single"/>
          <w:lang w:val="en-US"/>
        </w:rPr>
        <w:t>Public choice theory</w:t>
      </w:r>
    </w:p>
    <w:p w14:paraId="7BBA1ADF" w14:textId="124479D7" w:rsidR="0062040A" w:rsidRPr="00B10B09" w:rsidRDefault="0062040A" w:rsidP="0062040A">
      <w:r>
        <w:rPr>
          <w:lang w:val="en-US"/>
        </w:rPr>
        <w:tab/>
      </w:r>
      <w:r w:rsidRPr="002374CF">
        <w:t>Public-choice theory</w:t>
      </w:r>
      <w:r w:rsidRPr="00674909">
        <w:t xml:space="preserve">, also known as the </w:t>
      </w:r>
      <w:r w:rsidRPr="002374CF">
        <w:t>new political economy approach</w:t>
      </w:r>
      <w:r w:rsidRPr="00674909">
        <w:t>, goes even further to argue that governments can do (virtually) nothing right. This is because public-choice theory assumes that politicians, bureaucrats, citizens, and states act solely from a self-</w:t>
      </w:r>
      <w:r w:rsidRPr="00674909">
        <w:lastRenderedPageBreak/>
        <w:t xml:space="preserve">interested perspective, using their power and the authority of government for their own selfish ends. Citizens use political influence to obtain special benefits (called “rents”) from government policies (e.g., import licenses or rationed foreign exchange) that restrict access to important resources. </w:t>
      </w:r>
      <w:r w:rsidRPr="00B10B09">
        <w:t xml:space="preserve">The net result is not only a misallocation of resources but also a general reduction in individual freedoms. The conclusion, therefore, is that minimal government is the best government. </w:t>
      </w:r>
    </w:p>
    <w:p w14:paraId="2DA5D31A" w14:textId="77777777" w:rsidR="0062040A" w:rsidRDefault="0062040A" w:rsidP="0062040A"/>
    <w:p w14:paraId="4DA04A1C" w14:textId="77777777" w:rsidR="0062040A" w:rsidRPr="00B10B09" w:rsidRDefault="0062040A" w:rsidP="0062040A">
      <w:pPr>
        <w:rPr>
          <w:u w:val="single"/>
          <w:lang w:val="en-GB"/>
        </w:rPr>
      </w:pPr>
      <w:r w:rsidRPr="00B10B09">
        <w:rPr>
          <w:u w:val="single"/>
          <w:lang w:val="en-GB"/>
        </w:rPr>
        <w:t xml:space="preserve">Market-friendly approach </w:t>
      </w:r>
    </w:p>
    <w:p w14:paraId="194800D2" w14:textId="77777777" w:rsidR="0062040A" w:rsidRPr="00B10B09" w:rsidRDefault="0062040A" w:rsidP="0062040A">
      <w:pPr>
        <w:rPr>
          <w:lang w:val="en-GB"/>
        </w:rPr>
      </w:pPr>
      <w:r w:rsidRPr="00B10B09">
        <w:rPr>
          <w:lang w:val="en-GB"/>
        </w:rPr>
        <w:tab/>
        <w:t xml:space="preserve">This approach recognizes that there are many imperfections in </w:t>
      </w:r>
    </w:p>
    <w:p w14:paraId="7A543A4C" w14:textId="77777777" w:rsidR="0062040A" w:rsidRDefault="0062040A" w:rsidP="0062040A">
      <w:pPr>
        <w:rPr>
          <w:lang w:val="en-GB"/>
        </w:rPr>
      </w:pPr>
      <w:r w:rsidRPr="00B10B09">
        <w:rPr>
          <w:lang w:val="en-GB"/>
        </w:rPr>
        <w:t xml:space="preserve">developing-country product and factor markets and that governments do have a key role to play in facilitating the operation of markets through “nonselective” (market-friendly) interventions—for example, by investing in physical and social infrastructure, health care facilities, and educational institutions and by providing a suitable climate for private enterprise. </w:t>
      </w:r>
    </w:p>
    <w:p w14:paraId="0C4D76CA" w14:textId="77777777" w:rsidR="0062040A" w:rsidRDefault="0062040A" w:rsidP="0062040A">
      <w:pPr>
        <w:rPr>
          <w:lang w:val="en-GB"/>
        </w:rPr>
      </w:pPr>
    </w:p>
    <w:p w14:paraId="12D2DC8E" w14:textId="77777777" w:rsidR="0062040A" w:rsidRDefault="0062040A" w:rsidP="0062040A">
      <w:pPr>
        <w:rPr>
          <w:lang w:val="en-GB"/>
        </w:rPr>
      </w:pPr>
    </w:p>
    <w:p w14:paraId="3E63FDC4" w14:textId="77777777" w:rsidR="0062040A" w:rsidRPr="00B10B09" w:rsidRDefault="0062040A" w:rsidP="0062040A">
      <w:pPr>
        <w:rPr>
          <w:u w:val="single"/>
          <w:lang w:val="en-GB"/>
        </w:rPr>
      </w:pPr>
      <w:r>
        <w:rPr>
          <w:u w:val="single"/>
          <w:lang w:val="en-GB"/>
        </w:rPr>
        <w:t>Traditional Neoclassical Growth Theory</w:t>
      </w:r>
    </w:p>
    <w:p w14:paraId="1D0B1B4D" w14:textId="5234DCE0" w:rsidR="0062040A" w:rsidRDefault="0062040A" w:rsidP="0062040A">
      <w:r>
        <w:rPr>
          <w:lang w:val="en-GB"/>
        </w:rPr>
        <w:tab/>
      </w:r>
      <w:r w:rsidRPr="002374CF">
        <w:t>Another cornerstone of the neoclassical free-market argument is the assertion that liberalization (opening up) of national markets draws additional domestic and foreign investment and thus increases the rate of capital accumulation. In terms of GDP growth, this is equivalent to raising domestic savings rates, which enhances capital-labor ratios</w:t>
      </w:r>
      <w:r w:rsidRPr="002374CF">
        <w:rPr>
          <w:b/>
          <w:bCs/>
        </w:rPr>
        <w:t xml:space="preserve"> </w:t>
      </w:r>
      <w:r w:rsidRPr="002374CF">
        <w:t xml:space="preserve">and per capita incomes in capital-poor developing countries. </w:t>
      </w:r>
    </w:p>
    <w:p w14:paraId="4E231D4F" w14:textId="77777777" w:rsidR="0062040A" w:rsidRDefault="0062040A" w:rsidP="0062040A">
      <w:r>
        <w:tab/>
      </w:r>
      <w:r w:rsidRPr="002374CF">
        <w:t>The Solow neoclassical growth model</w:t>
      </w:r>
      <w:r w:rsidRPr="002374CF">
        <w:rPr>
          <w:b/>
          <w:bCs/>
        </w:rPr>
        <w:t xml:space="preserve"> </w:t>
      </w:r>
      <w:r w:rsidRPr="002374CF">
        <w:t>in particular represented the sem</w:t>
      </w:r>
      <w:proofErr w:type="spellStart"/>
      <w:r w:rsidRPr="002374CF">
        <w:rPr>
          <w:lang w:val="en-US"/>
        </w:rPr>
        <w:t>i</w:t>
      </w:r>
      <w:proofErr w:type="spellEnd"/>
      <w:r w:rsidRPr="002374CF">
        <w:t>nal contribution to the neoclassical theory of growth</w:t>
      </w:r>
      <w:r w:rsidRPr="002374CF">
        <w:rPr>
          <w:lang w:val="en-US"/>
        </w:rPr>
        <w:t xml:space="preserve">. </w:t>
      </w:r>
      <w:r w:rsidRPr="002374CF">
        <w:t>It differed from the Harrod-Domar formulation by adding a second factor, labor, and introducing a third independent variable, technology, to the growth equation. Unlike the fixed-coefficient, constant</w:t>
      </w:r>
      <w:r w:rsidRPr="002374CF">
        <w:rPr>
          <w:lang w:val="en-US"/>
        </w:rPr>
        <w:t xml:space="preserve"> </w:t>
      </w:r>
      <w:r w:rsidRPr="002374CF">
        <w:t xml:space="preserve">returns-to-scale assumption of the Harrod-Domar model, Solow’s neoclassical growth model exhibited diminishing returns to labor and capital separately and constant returns to both factors jointly. Technological progress became the residual factor explaining long-term growth, and its level was assumed by Solow and other neoclassical growth theorists to be determined exogenously, that is, independently of all other factors in the model. </w:t>
      </w:r>
    </w:p>
    <w:p w14:paraId="34282C5A" w14:textId="1DDC12A7" w:rsidR="0062040A" w:rsidRPr="00AB0D66" w:rsidRDefault="0062040A" w:rsidP="0062040A">
      <w:r>
        <w:tab/>
      </w:r>
      <w:r w:rsidRPr="00AB0D66">
        <w:t>According to traditional neoclassical growth theory, output growth results from one or more of three factors: increases in labor quantity and quality (through population growth and education), increases in capital (through saving and investment), and improvements in technology</w:t>
      </w:r>
      <w:r w:rsidRPr="00003CB4">
        <w:rPr>
          <w:lang w:val="en-US"/>
        </w:rPr>
        <w:t xml:space="preserve">. </w:t>
      </w:r>
      <w:r w:rsidRPr="00FD79A4">
        <w:t>Closed</w:t>
      </w:r>
      <w:r w:rsidRPr="00AB0D66">
        <w:rPr>
          <w:b/>
          <w:bCs/>
        </w:rPr>
        <w:t xml:space="preserve"> </w:t>
      </w:r>
      <w:r w:rsidRPr="00FD79A4">
        <w:t>economies</w:t>
      </w:r>
      <w:r w:rsidRPr="00AB0D66">
        <w:rPr>
          <w:b/>
          <w:bCs/>
        </w:rPr>
        <w:t xml:space="preserve"> </w:t>
      </w:r>
      <w:r w:rsidRPr="00AB0D66">
        <w:t xml:space="preserve">(those with no external activities) with lower savings rates (other things being equal) grow more slowly in the short run than those with high savings rates and tend to converge to lower per capita income levels. </w:t>
      </w:r>
      <w:r w:rsidRPr="00FD79A4">
        <w:t>Open</w:t>
      </w:r>
      <w:r w:rsidRPr="00AB0D66">
        <w:rPr>
          <w:b/>
          <w:bCs/>
        </w:rPr>
        <w:t xml:space="preserve"> </w:t>
      </w:r>
      <w:r w:rsidRPr="00FD79A4">
        <w:t>economies</w:t>
      </w:r>
      <w:r w:rsidRPr="00AB0D66">
        <w:rPr>
          <w:b/>
          <w:bCs/>
        </w:rPr>
        <w:t xml:space="preserve"> </w:t>
      </w:r>
      <w:r w:rsidRPr="00AB0D66">
        <w:t xml:space="preserve">(those with trade, foreign investment, etc.), however, experience income convergence at higher levels as capital flows from rich countries to poor countries where capital-labor ratios are lower and thus returns on investments are higher. Consequently, by impeding the inflow of foreign investment, the heavy-handedness of many developing countries’ governments, according to neoclassical growth theory, will retard growth in the economies of the developing world. In addition, openness is said to encourage greater access to foreign production ideas that can raise the rate of technological progress. </w:t>
      </w:r>
    </w:p>
    <w:p w14:paraId="1EA843A7" w14:textId="77777777" w:rsidR="00670236" w:rsidRDefault="00FD79A4"/>
    <w:sectPr w:rsidR="006702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B3207D"/>
    <w:multiLevelType w:val="hybridMultilevel"/>
    <w:tmpl w:val="439E5EBA"/>
    <w:lvl w:ilvl="0" w:tplc="8ED281EC">
      <w:start w:val="1"/>
      <w:numFmt w:val="decimal"/>
      <w:lvlText w:val="%1."/>
      <w:lvlJc w:val="left"/>
      <w:pPr>
        <w:ind w:left="720" w:hanging="360"/>
      </w:pPr>
      <w:rPr>
        <w:rFonts w:hint="default"/>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40A"/>
    <w:rsid w:val="002C66A3"/>
    <w:rsid w:val="003D4C63"/>
    <w:rsid w:val="0062040A"/>
    <w:rsid w:val="00A62A44"/>
    <w:rsid w:val="00AB4922"/>
    <w:rsid w:val="00C72B26"/>
    <w:rsid w:val="00D052AB"/>
    <w:rsid w:val="00F33E6D"/>
    <w:rsid w:val="00FD79A4"/>
  </w:rsids>
  <m:mathPr>
    <m:mathFont m:val="Cambria Math"/>
    <m:brkBin m:val="before"/>
    <m:brkBinSub m:val="--"/>
    <m:smallFrac m:val="0"/>
    <m:dispDef/>
    <m:lMargin m:val="0"/>
    <m:rMargin m:val="0"/>
    <m:defJc m:val="centerGroup"/>
    <m:wrapIndent m:val="1440"/>
    <m:intLim m:val="subSup"/>
    <m:naryLim m:val="undOvr"/>
  </m:mathPr>
  <w:themeFontLang w:val="en-CH"/>
  <w:clrSchemeMapping w:bg1="light1" w:t1="dark1" w:bg2="light2" w:t2="dark2" w:accent1="accent1" w:accent2="accent2" w:accent3="accent3" w:accent4="accent4" w:accent5="accent5" w:accent6="accent6" w:hyperlink="hyperlink" w:followedHyperlink="followedHyperlink"/>
  <w:decimalSymbol w:val="."/>
  <w:listSeparator w:val=","/>
  <w14:docId w14:val="5E911517"/>
  <w15:chartTrackingRefBased/>
  <w15:docId w15:val="{95C4A59D-E58F-6D4E-BCEB-038682D99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CH"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040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04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6</Pages>
  <Words>3289</Words>
  <Characters>18750</Characters>
  <Application>Microsoft Office Word</Application>
  <DocSecurity>0</DocSecurity>
  <Lines>156</Lines>
  <Paragraphs>43</Paragraphs>
  <ScaleCrop>false</ScaleCrop>
  <Company/>
  <LinksUpToDate>false</LinksUpToDate>
  <CharactersWithSpaces>21996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Gilles Wouters</dc:creator>
  <cp:keywords/>
  <dc:description/>
  <cp:lastModifiedBy>Gilles Wouters</cp:lastModifiedBy>
  <cp:revision>5</cp:revision>
  <dcterms:created xsi:type="dcterms:W3CDTF">2021-12-28T17:29:00Z</dcterms:created>
  <dcterms:modified xsi:type="dcterms:W3CDTF">2021-12-28T17:35:00Z</dcterms:modified>
</cp:coreProperties>
</file>