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7115B0" w14:textId="56D6A681" w:rsidR="00466C51" w:rsidRDefault="00B26B60" w:rsidP="00B26B60">
      <w:pPr>
        <w:pStyle w:val="Titel"/>
      </w:pPr>
      <w:r>
        <w:t xml:space="preserve">Machine Learning </w:t>
      </w:r>
      <w:r w:rsidR="005B3F18">
        <w:t xml:space="preserve">January </w:t>
      </w:r>
      <w:r>
        <w:t>2020</w:t>
      </w:r>
    </w:p>
    <w:p w14:paraId="5A005069" w14:textId="45218F93" w:rsidR="00B26B60" w:rsidRPr="00B26B60" w:rsidRDefault="00B26B60" w:rsidP="00B26B60">
      <w:pPr>
        <w:pStyle w:val="Lijstalinea"/>
        <w:numPr>
          <w:ilvl w:val="0"/>
          <w:numId w:val="1"/>
        </w:numPr>
      </w:pPr>
      <w:proofErr w:type="spellStart"/>
      <w:r w:rsidRPr="00B26B60">
        <w:t>Triviaal</w:t>
      </w:r>
      <w:proofErr w:type="spellEnd"/>
      <w:r w:rsidRPr="00B26B60">
        <w:t>: Match these terms to the corresponding description.</w:t>
      </w:r>
    </w:p>
    <w:p w14:paraId="338DD0A5" w14:textId="1E44BE26" w:rsidR="00B26B60" w:rsidRPr="00B26B60" w:rsidRDefault="00B26B60" w:rsidP="00B26B60">
      <w:pPr>
        <w:pStyle w:val="Lijstalinea"/>
        <w:numPr>
          <w:ilvl w:val="0"/>
          <w:numId w:val="1"/>
        </w:numPr>
      </w:pPr>
      <w:r w:rsidRPr="00B26B60">
        <w:t>Match these terms to the corresponding description (Warning: not just the definition from the slides):</w:t>
      </w:r>
    </w:p>
    <w:p w14:paraId="554C9272" w14:textId="27C3E7E0" w:rsidR="00B26B60" w:rsidRPr="00B26B60" w:rsidRDefault="00B26B60" w:rsidP="00B26B60">
      <w:pPr>
        <w:pStyle w:val="Lijstalinea"/>
        <w:numPr>
          <w:ilvl w:val="1"/>
          <w:numId w:val="1"/>
        </w:numPr>
      </w:pPr>
      <w:r w:rsidRPr="00B26B60">
        <w:t>VC-Dimension</w:t>
      </w:r>
    </w:p>
    <w:p w14:paraId="21A33878" w14:textId="2E6516A1" w:rsidR="00B26B60" w:rsidRPr="00B26B60" w:rsidRDefault="00B26B60" w:rsidP="00B26B60">
      <w:pPr>
        <w:pStyle w:val="Lijstalinea"/>
        <w:numPr>
          <w:ilvl w:val="1"/>
          <w:numId w:val="1"/>
        </w:numPr>
      </w:pPr>
      <w:r w:rsidRPr="00B26B60">
        <w:t xml:space="preserve">Curse of </w:t>
      </w:r>
      <w:proofErr w:type="spellStart"/>
      <w:r w:rsidRPr="00B26B60">
        <w:t>Dimensiality</w:t>
      </w:r>
      <w:proofErr w:type="spellEnd"/>
    </w:p>
    <w:p w14:paraId="7721DAE1" w14:textId="2A6E73CA" w:rsidR="00B26B60" w:rsidRPr="00B26B60" w:rsidRDefault="00B26B60" w:rsidP="00B26B60">
      <w:pPr>
        <w:pStyle w:val="Lijstalinea"/>
        <w:numPr>
          <w:ilvl w:val="1"/>
          <w:numId w:val="1"/>
        </w:numPr>
      </w:pPr>
      <w:r w:rsidRPr="00B26B60">
        <w:t>Sample complexity</w:t>
      </w:r>
    </w:p>
    <w:p w14:paraId="6A5CD07E" w14:textId="65B9DE3A" w:rsidR="00B26B60" w:rsidRPr="00B26B60" w:rsidRDefault="00B26B60" w:rsidP="00B26B60">
      <w:pPr>
        <w:pStyle w:val="Lijstalinea"/>
        <w:numPr>
          <w:ilvl w:val="1"/>
          <w:numId w:val="1"/>
        </w:numPr>
      </w:pPr>
      <w:r w:rsidRPr="00B26B60">
        <w:t>MDL Principle</w:t>
      </w:r>
    </w:p>
    <w:p w14:paraId="268F55A0" w14:textId="03DA07CA" w:rsidR="00B26B60" w:rsidRPr="00B26B60" w:rsidRDefault="00B26B60" w:rsidP="00B26B60">
      <w:pPr>
        <w:pStyle w:val="Lijstalinea"/>
        <w:numPr>
          <w:ilvl w:val="1"/>
          <w:numId w:val="1"/>
        </w:numPr>
      </w:pPr>
      <w:r w:rsidRPr="00B26B60">
        <w:t>Occam’s Razor (Lecture 7, slide 11)</w:t>
      </w:r>
    </w:p>
    <w:p w14:paraId="4492779F" w14:textId="77777777" w:rsidR="00B26B60" w:rsidRPr="00B26B60" w:rsidRDefault="00B26B60" w:rsidP="00B26B60">
      <w:pPr>
        <w:pStyle w:val="Lijstalinea"/>
        <w:numPr>
          <w:ilvl w:val="1"/>
          <w:numId w:val="1"/>
        </w:numPr>
      </w:pPr>
      <w:r w:rsidRPr="00B26B60">
        <w:t>Overfitting</w:t>
      </w:r>
    </w:p>
    <w:p w14:paraId="70FE502F" w14:textId="31DFCC15" w:rsidR="00B26B60" w:rsidRPr="00B26B60" w:rsidRDefault="00B26B60" w:rsidP="00B26B60">
      <w:pPr>
        <w:pStyle w:val="Lijstalinea"/>
        <w:numPr>
          <w:ilvl w:val="0"/>
          <w:numId w:val="1"/>
        </w:numPr>
      </w:pPr>
      <w:r w:rsidRPr="00B26B60">
        <w:t>Draw a circle around the correct answer. A high VC-dimension:</w:t>
      </w:r>
    </w:p>
    <w:p w14:paraId="675712BC" w14:textId="77777777" w:rsidR="00B26B60" w:rsidRPr="00B26B60" w:rsidRDefault="00B26B60" w:rsidP="00B26B60">
      <w:pPr>
        <w:pStyle w:val="Lijstalinea"/>
        <w:numPr>
          <w:ilvl w:val="1"/>
          <w:numId w:val="1"/>
        </w:numPr>
        <w:rPr>
          <w:color w:val="000000"/>
        </w:rPr>
      </w:pPr>
      <w:r w:rsidRPr="00B26B60">
        <w:rPr>
          <w:color w:val="000000"/>
        </w:rPr>
        <w:t>indicates {high/low/has nothing to do with} expressiveness of a hypothesis space</w:t>
      </w:r>
    </w:p>
    <w:p w14:paraId="12769349" w14:textId="77777777" w:rsidR="00B26B60" w:rsidRPr="00B26B60" w:rsidRDefault="00B26B60" w:rsidP="00B26B60">
      <w:pPr>
        <w:pStyle w:val="Lijstalinea"/>
        <w:numPr>
          <w:ilvl w:val="1"/>
          <w:numId w:val="1"/>
        </w:numPr>
        <w:rPr>
          <w:color w:val="000000"/>
        </w:rPr>
      </w:pPr>
      <w:r w:rsidRPr="00B26B60">
        <w:rPr>
          <w:color w:val="000000"/>
        </w:rPr>
        <w:t>makes it {more/less/equally} likely that a hypothesis exists that fits the data perfectly</w:t>
      </w:r>
    </w:p>
    <w:p w14:paraId="69FD1AF4" w14:textId="4C56560D" w:rsidR="00B26B60" w:rsidRDefault="00B26B60" w:rsidP="00B26B60">
      <w:pPr>
        <w:pStyle w:val="Lijstalinea"/>
        <w:numPr>
          <w:ilvl w:val="1"/>
          <w:numId w:val="1"/>
        </w:numPr>
        <w:rPr>
          <w:color w:val="000000"/>
        </w:rPr>
      </w:pPr>
      <w:r w:rsidRPr="00B26B60">
        <w:rPr>
          <w:color w:val="000000"/>
        </w:rPr>
        <w:t>causes the learner to require {more/fewer/equally many} examples to learn a correct hypothesis</w:t>
      </w:r>
    </w:p>
    <w:p w14:paraId="273015F4" w14:textId="402C48E7" w:rsidR="00B26B60" w:rsidRDefault="00B26B60" w:rsidP="00B26B60">
      <w:pPr>
        <w:pStyle w:val="Lijstalinea"/>
        <w:numPr>
          <w:ilvl w:val="0"/>
          <w:numId w:val="1"/>
        </w:numPr>
        <w:rPr>
          <w:color w:val="000000"/>
        </w:rPr>
      </w:pPr>
      <w:r>
        <w:rPr>
          <w:color w:val="000000"/>
        </w:rPr>
        <w:t>What choice determines the inductive bias of a SVM the most?</w:t>
      </w:r>
    </w:p>
    <w:p w14:paraId="7DF5A273" w14:textId="068356C4" w:rsidR="00B26B60" w:rsidRDefault="00B26B60" w:rsidP="00B26B60">
      <w:pPr>
        <w:pStyle w:val="Lijstalinea"/>
        <w:numPr>
          <w:ilvl w:val="0"/>
          <w:numId w:val="1"/>
        </w:numPr>
        <w:rPr>
          <w:color w:val="000000"/>
        </w:rPr>
      </w:pPr>
      <w:r>
        <w:rPr>
          <w:color w:val="000000"/>
        </w:rPr>
        <w:t>Give a term for the set of all consistent Hypotheses?</w:t>
      </w:r>
    </w:p>
    <w:p w14:paraId="3C20DC90" w14:textId="66B7B0D1" w:rsidR="00B26B60" w:rsidRDefault="00B26B60" w:rsidP="00B26B60">
      <w:pPr>
        <w:pStyle w:val="Lijstalinea"/>
        <w:numPr>
          <w:ilvl w:val="0"/>
          <w:numId w:val="1"/>
        </w:numPr>
        <w:rPr>
          <w:color w:val="000000"/>
        </w:rPr>
      </w:pPr>
      <w:r>
        <w:rPr>
          <w:color w:val="000000"/>
        </w:rPr>
        <w:t>/</w:t>
      </w:r>
    </w:p>
    <w:p w14:paraId="300729ED" w14:textId="1A468307" w:rsidR="00B26B60" w:rsidRDefault="00B26B60" w:rsidP="00B26B60">
      <w:pPr>
        <w:pStyle w:val="Lijstalinea"/>
        <w:numPr>
          <w:ilvl w:val="0"/>
          <w:numId w:val="1"/>
        </w:numPr>
        <w:rPr>
          <w:color w:val="000000"/>
        </w:rPr>
      </w:pPr>
      <w:r>
        <w:rPr>
          <w:color w:val="000000"/>
        </w:rPr>
        <w:t>Sketch the decision surface for these points if there was used (the drawing was given 4 times):</w:t>
      </w:r>
    </w:p>
    <w:p w14:paraId="7481551E" w14:textId="180D3931" w:rsidR="00B26B60" w:rsidRDefault="00B26B60" w:rsidP="00B26B60">
      <w:pPr>
        <w:pStyle w:val="Lijstalinea"/>
        <w:numPr>
          <w:ilvl w:val="1"/>
          <w:numId w:val="1"/>
        </w:numPr>
        <w:rPr>
          <w:color w:val="000000"/>
        </w:rPr>
      </w:pPr>
      <w:r>
        <w:rPr>
          <w:color w:val="000000"/>
        </w:rPr>
        <w:t>A decision three</w:t>
      </w:r>
    </w:p>
    <w:p w14:paraId="4E57C4EC" w14:textId="53A9028A" w:rsidR="00B26B60" w:rsidRDefault="00B26B60" w:rsidP="00B26B60">
      <w:pPr>
        <w:pStyle w:val="Lijstalinea"/>
        <w:numPr>
          <w:ilvl w:val="1"/>
          <w:numId w:val="1"/>
        </w:numPr>
        <w:rPr>
          <w:color w:val="000000"/>
        </w:rPr>
      </w:pPr>
      <w:r>
        <w:rPr>
          <w:color w:val="000000"/>
        </w:rPr>
        <w:t>1NN</w:t>
      </w:r>
    </w:p>
    <w:p w14:paraId="15D34EF0" w14:textId="3DE5ECA0" w:rsidR="00B26B60" w:rsidRDefault="00B26B60" w:rsidP="00B26B60">
      <w:pPr>
        <w:pStyle w:val="Lijstalinea"/>
        <w:numPr>
          <w:ilvl w:val="1"/>
          <w:numId w:val="1"/>
        </w:numPr>
        <w:rPr>
          <w:color w:val="000000"/>
        </w:rPr>
      </w:pPr>
      <w:r>
        <w:rPr>
          <w:color w:val="000000"/>
        </w:rPr>
        <w:t>SVM (linear)</w:t>
      </w:r>
    </w:p>
    <w:p w14:paraId="71EBAF08" w14:textId="17A348CD" w:rsidR="00B26B60" w:rsidRDefault="00B26B60" w:rsidP="00B26B60">
      <w:pPr>
        <w:pStyle w:val="Lijstalinea"/>
        <w:numPr>
          <w:ilvl w:val="1"/>
          <w:numId w:val="1"/>
        </w:numPr>
        <w:rPr>
          <w:color w:val="000000"/>
        </w:rPr>
      </w:pPr>
      <w:r>
        <w:rPr>
          <w:color w:val="000000"/>
        </w:rPr>
        <w:t>SVM (non-linear)</w:t>
      </w:r>
    </w:p>
    <w:p w14:paraId="6E2CB1FE" w14:textId="383BD76E" w:rsidR="00B26B60" w:rsidRDefault="00B26B60" w:rsidP="00B26B60">
      <w:pPr>
        <w:pStyle w:val="Lijstalinea"/>
        <w:rPr>
          <w:color w:val="000000"/>
        </w:rPr>
      </w:pPr>
      <w:r>
        <w:rPr>
          <w:noProof/>
        </w:rPr>
        <w:drawing>
          <wp:inline distT="0" distB="0" distL="0" distR="0" wp14:anchorId="65B46E69" wp14:editId="6BBC5716">
            <wp:extent cx="1957526" cy="1600200"/>
            <wp:effectExtent l="0" t="0" r="5080" b="0"/>
            <wp:docPr id="1" name="Afbeelding 1" descr="Geen beschrijving beschikb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en beschrijving beschikbaa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160" t="18353" r="11508" b="30556"/>
                    <a:stretch/>
                  </pic:blipFill>
                  <pic:spPr bwMode="auto">
                    <a:xfrm>
                      <a:off x="0" y="0"/>
                      <a:ext cx="1964559" cy="1605949"/>
                    </a:xfrm>
                    <a:prstGeom prst="rect">
                      <a:avLst/>
                    </a:prstGeom>
                    <a:noFill/>
                    <a:ln>
                      <a:noFill/>
                    </a:ln>
                    <a:extLst>
                      <a:ext uri="{53640926-AAD7-44D8-BBD7-CCE9431645EC}">
                        <a14:shadowObscured xmlns:a14="http://schemas.microsoft.com/office/drawing/2010/main"/>
                      </a:ext>
                    </a:extLst>
                  </pic:spPr>
                </pic:pic>
              </a:graphicData>
            </a:graphic>
          </wp:inline>
        </w:drawing>
      </w:r>
    </w:p>
    <w:p w14:paraId="5AF9DD2C" w14:textId="7908A762" w:rsidR="00356BE0" w:rsidRDefault="00356BE0" w:rsidP="00B26B60">
      <w:pPr>
        <w:pStyle w:val="Lijstalinea"/>
        <w:numPr>
          <w:ilvl w:val="0"/>
          <w:numId w:val="1"/>
        </w:numPr>
        <w:rPr>
          <w:color w:val="000000"/>
        </w:rPr>
      </w:pPr>
      <w:r>
        <w:rPr>
          <w:color w:val="000000"/>
        </w:rPr>
        <w:t>Classic exercise on theta-subsumption. A hierarchy with boxes was already given, so you just had to fill in the numbers. (this made it easier to not make mistakes)</w:t>
      </w:r>
    </w:p>
    <w:p w14:paraId="1BA4AD91" w14:textId="540EE87D" w:rsidR="00B26B60" w:rsidRDefault="00B26B60" w:rsidP="00B26B60">
      <w:pPr>
        <w:pStyle w:val="Lijstalinea"/>
        <w:numPr>
          <w:ilvl w:val="0"/>
          <w:numId w:val="1"/>
        </w:numPr>
        <w:rPr>
          <w:color w:val="000000"/>
        </w:rPr>
      </w:pPr>
      <w:r>
        <w:rPr>
          <w:color w:val="000000"/>
        </w:rPr>
        <w:t>Is it possible that a classifier that has</w:t>
      </w:r>
      <w:r w:rsidR="00356BE0">
        <w:rPr>
          <w:color w:val="000000"/>
        </w:rPr>
        <w:t xml:space="preserve"> an accuracy below default (always predicting the majority class) is on the convex hull. Make a drawing and argue.</w:t>
      </w:r>
    </w:p>
    <w:p w14:paraId="527D9125" w14:textId="77777777" w:rsidR="001E014E" w:rsidRDefault="00356BE0" w:rsidP="001E014E">
      <w:pPr>
        <w:pStyle w:val="Lijstalinea"/>
        <w:numPr>
          <w:ilvl w:val="0"/>
          <w:numId w:val="1"/>
        </w:numPr>
        <w:rPr>
          <w:color w:val="000000"/>
        </w:rPr>
      </w:pPr>
      <w:r>
        <w:rPr>
          <w:color w:val="000000"/>
        </w:rPr>
        <w:t>Classify an example using NB and 3NN (Warning: the likelihood for all outputs was 0 using NB)</w:t>
      </w:r>
    </w:p>
    <w:p w14:paraId="759E8EB8" w14:textId="0A5AA521" w:rsidR="001E014E" w:rsidRPr="001E014E" w:rsidRDefault="001E014E" w:rsidP="001E014E">
      <w:pPr>
        <w:pStyle w:val="Lijstalinea"/>
        <w:numPr>
          <w:ilvl w:val="0"/>
          <w:numId w:val="1"/>
        </w:numPr>
        <w:rPr>
          <w:color w:val="000000"/>
        </w:rPr>
      </w:pPr>
      <w:r w:rsidRPr="001E014E">
        <w:rPr>
          <w:rFonts w:ascii="Arial" w:eastAsia="Times New Roman" w:hAnsi="Arial" w:cs="Arial"/>
          <w:color w:val="000000"/>
        </w:rPr>
        <w:t>A cleaning robot needs to clean the floor of an office. There are 8 tiles. An * indicates a docking station where the robot can recharge its battery, and ‘x’ indicates an obstacle. The robot can move north, south, east, and west. It automatically cleans any tile it moves over, and automatically recharges when arriving at a docking station. The robot knows its current position and whether its battery is “high” or “low”. Starting with a fully charged battery, the battery status changes from high to low after 2 moves, and the robot runs out of power after 2 more moves.</w:t>
      </w:r>
    </w:p>
    <w:p w14:paraId="5ED6102B" w14:textId="77777777" w:rsidR="001E014E" w:rsidRPr="001E014E" w:rsidRDefault="001E014E" w:rsidP="001E014E">
      <w:pPr>
        <w:pStyle w:val="Lijstalinea"/>
        <w:spacing w:before="240" w:after="240" w:line="240" w:lineRule="auto"/>
        <w:rPr>
          <w:rFonts w:ascii="Times New Roman" w:eastAsia="Times New Roman" w:hAnsi="Times New Roman" w:cs="Times New Roman"/>
          <w:sz w:val="24"/>
          <w:szCs w:val="24"/>
        </w:rPr>
      </w:pPr>
      <w:r w:rsidRPr="001E014E">
        <w:rPr>
          <w:rFonts w:ascii="Arial" w:eastAsia="Times New Roman" w:hAnsi="Arial" w:cs="Arial"/>
          <w:color w:val="000000"/>
        </w:rPr>
        <w:lastRenderedPageBreak/>
        <w:t>Assume that the robot performs Q-Learning with a discount factor gamma = 0.5, and it gets a reward of 1 when arriving on a dirty tile. There are no other rewards. The robot is activated once a day, starting from Tile A, and all tiles are dirty at this point.</w:t>
      </w:r>
    </w:p>
    <w:tbl>
      <w:tblPr>
        <w:tblW w:w="0" w:type="auto"/>
        <w:tblInd w:w="3889" w:type="dxa"/>
        <w:tblCellMar>
          <w:top w:w="15" w:type="dxa"/>
          <w:left w:w="15" w:type="dxa"/>
          <w:bottom w:w="15" w:type="dxa"/>
          <w:right w:w="15" w:type="dxa"/>
        </w:tblCellMar>
        <w:tblLook w:val="04A0" w:firstRow="1" w:lastRow="0" w:firstColumn="1" w:lastColumn="0" w:noHBand="0" w:noVBand="1"/>
      </w:tblPr>
      <w:tblGrid>
        <w:gridCol w:w="581"/>
        <w:gridCol w:w="441"/>
        <w:gridCol w:w="441"/>
        <w:gridCol w:w="621"/>
      </w:tblGrid>
      <w:tr w:rsidR="001E014E" w:rsidRPr="001E014E" w14:paraId="03EED78C" w14:textId="77777777" w:rsidTr="001E014E">
        <w:trPr>
          <w:trHeight w:val="9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2E0B" w14:textId="77777777" w:rsidR="001E014E" w:rsidRPr="001E014E" w:rsidRDefault="001E014E" w:rsidP="001E014E">
            <w:pPr>
              <w:spacing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E2F77"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B</w:t>
            </w:r>
          </w:p>
        </w:tc>
        <w:tc>
          <w:tcPr>
            <w:tcW w:w="0" w:type="auto"/>
            <w:tcBorders>
              <w:top w:val="single" w:sz="8" w:space="0" w:color="000000"/>
              <w:left w:val="single" w:sz="8" w:space="0" w:color="000000"/>
              <w:bottom w:val="single" w:sz="8" w:space="0" w:color="000000"/>
              <w:right w:val="single" w:sz="8" w:space="0" w:color="000000"/>
            </w:tcBorders>
            <w:shd w:val="clear" w:color="auto" w:fill="ED7D31"/>
            <w:tcMar>
              <w:top w:w="100" w:type="dxa"/>
              <w:left w:w="100" w:type="dxa"/>
              <w:bottom w:w="100" w:type="dxa"/>
              <w:right w:w="100" w:type="dxa"/>
            </w:tcMar>
            <w:hideMark/>
          </w:tcPr>
          <w:p w14:paraId="0C9FCF69"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4A730"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C</w:t>
            </w:r>
          </w:p>
        </w:tc>
      </w:tr>
      <w:tr w:rsidR="001E014E" w:rsidRPr="001E014E" w14:paraId="3A1B4D16" w14:textId="77777777" w:rsidTr="001E014E">
        <w:trPr>
          <w:trHeight w:val="10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FDA0A"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CBD13"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E5D17"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6175D" w14:textId="77777777" w:rsidR="001E014E" w:rsidRPr="001E014E" w:rsidRDefault="001E014E" w:rsidP="001E014E">
            <w:pPr>
              <w:spacing w:before="240" w:after="0" w:line="240" w:lineRule="auto"/>
              <w:jc w:val="center"/>
              <w:rPr>
                <w:rFonts w:ascii="Times New Roman" w:eastAsia="Times New Roman" w:hAnsi="Times New Roman" w:cs="Times New Roman"/>
                <w:sz w:val="24"/>
                <w:szCs w:val="24"/>
              </w:rPr>
            </w:pPr>
            <w:r w:rsidRPr="001E014E">
              <w:rPr>
                <w:rFonts w:ascii="Arial" w:eastAsia="Times New Roman" w:hAnsi="Arial" w:cs="Arial"/>
                <w:color w:val="000000"/>
                <w:sz w:val="36"/>
                <w:szCs w:val="36"/>
              </w:rPr>
              <w:t>G*</w:t>
            </w:r>
          </w:p>
        </w:tc>
      </w:tr>
    </w:tbl>
    <w:p w14:paraId="44691A09" w14:textId="77777777" w:rsidR="001E014E" w:rsidRPr="001E014E" w:rsidRDefault="001E014E" w:rsidP="001E014E">
      <w:pPr>
        <w:pStyle w:val="Lijstalinea"/>
        <w:spacing w:before="240" w:after="240" w:line="240" w:lineRule="auto"/>
        <w:rPr>
          <w:rFonts w:ascii="Times New Roman" w:eastAsia="Times New Roman" w:hAnsi="Times New Roman" w:cs="Times New Roman"/>
          <w:sz w:val="24"/>
          <w:szCs w:val="24"/>
        </w:rPr>
      </w:pPr>
      <w:r w:rsidRPr="001E014E">
        <w:rPr>
          <w:rFonts w:ascii="Arial" w:eastAsia="Times New Roman" w:hAnsi="Arial" w:cs="Arial"/>
          <w:color w:val="000000"/>
        </w:rPr>
        <w:t>All Q-values are initialized at 0. They are updated in reverse order at the end of each day. This is the exploration the robot performs on day 1 and day 2.</w:t>
      </w:r>
    </w:p>
    <w:p w14:paraId="0F18AB55" w14:textId="400ADCAA" w:rsidR="001E014E" w:rsidRPr="001E014E" w:rsidRDefault="001E014E" w:rsidP="001E014E">
      <w:pPr>
        <w:spacing w:before="240" w:after="240" w:line="240" w:lineRule="auto"/>
        <w:ind w:left="360"/>
        <w:rPr>
          <w:rFonts w:ascii="Times New Roman" w:eastAsia="Times New Roman" w:hAnsi="Times New Roman" w:cs="Times New Roman"/>
          <w:sz w:val="24"/>
          <w:szCs w:val="24"/>
        </w:rPr>
      </w:pPr>
      <w:r>
        <w:rPr>
          <w:rFonts w:ascii="Arial" w:eastAsia="Times New Roman" w:hAnsi="Arial" w:cs="Arial"/>
          <w:color w:val="000000"/>
        </w:rPr>
        <w:t xml:space="preserve">      </w:t>
      </w:r>
      <w:r w:rsidRPr="001E014E">
        <w:rPr>
          <w:rFonts w:ascii="Arial" w:eastAsia="Times New Roman" w:hAnsi="Arial" w:cs="Arial"/>
          <w:color w:val="000000"/>
        </w:rPr>
        <w:t>Day 1: east- south -west – east</w:t>
      </w:r>
    </w:p>
    <w:p w14:paraId="40718A1C" w14:textId="77777777" w:rsidR="001E014E" w:rsidRPr="001E014E" w:rsidRDefault="001E014E" w:rsidP="001E014E">
      <w:pPr>
        <w:pStyle w:val="Lijstalinea"/>
        <w:spacing w:before="240" w:after="240" w:line="240" w:lineRule="auto"/>
        <w:rPr>
          <w:rFonts w:ascii="Times New Roman" w:eastAsia="Times New Roman" w:hAnsi="Times New Roman" w:cs="Times New Roman"/>
          <w:sz w:val="24"/>
          <w:szCs w:val="24"/>
        </w:rPr>
      </w:pPr>
      <w:r w:rsidRPr="001E014E">
        <w:rPr>
          <w:rFonts w:ascii="Arial" w:eastAsia="Times New Roman" w:hAnsi="Arial" w:cs="Arial"/>
          <w:color w:val="000000"/>
        </w:rPr>
        <w:t>Day 2: south – east – east – east – west – west – north - south</w:t>
      </w:r>
    </w:p>
    <w:p w14:paraId="189CAA89" w14:textId="77777777" w:rsidR="001E014E" w:rsidRDefault="001E014E" w:rsidP="001E014E">
      <w:pPr>
        <w:pStyle w:val="Lijstalinea"/>
        <w:spacing w:before="240" w:after="240" w:line="240" w:lineRule="auto"/>
        <w:rPr>
          <w:rFonts w:ascii="Arial" w:eastAsia="Times New Roman" w:hAnsi="Arial" w:cs="Arial"/>
          <w:color w:val="000000"/>
        </w:rPr>
      </w:pPr>
    </w:p>
    <w:p w14:paraId="5ECC30C8" w14:textId="7BC03ACC" w:rsidR="001E014E" w:rsidRPr="001E014E" w:rsidRDefault="001E014E" w:rsidP="001E014E">
      <w:pPr>
        <w:pStyle w:val="Lijstalinea"/>
        <w:spacing w:before="240" w:after="240" w:line="240" w:lineRule="auto"/>
        <w:rPr>
          <w:rFonts w:ascii="Times New Roman" w:eastAsia="Times New Roman" w:hAnsi="Times New Roman" w:cs="Times New Roman"/>
          <w:sz w:val="24"/>
          <w:szCs w:val="24"/>
        </w:rPr>
      </w:pPr>
      <w:r w:rsidRPr="001E014E">
        <w:rPr>
          <w:rFonts w:ascii="Arial" w:eastAsia="Times New Roman" w:hAnsi="Arial" w:cs="Arial"/>
          <w:color w:val="000000"/>
        </w:rPr>
        <w:t>Give the following q-values after two days.</w:t>
      </w:r>
    </w:p>
    <w:tbl>
      <w:tblPr>
        <w:tblW w:w="0" w:type="auto"/>
        <w:tblInd w:w="1946" w:type="dxa"/>
        <w:tblCellMar>
          <w:top w:w="15" w:type="dxa"/>
          <w:left w:w="15" w:type="dxa"/>
          <w:bottom w:w="15" w:type="dxa"/>
          <w:right w:w="15" w:type="dxa"/>
        </w:tblCellMar>
        <w:tblLook w:val="04A0" w:firstRow="1" w:lastRow="0" w:firstColumn="1" w:lastColumn="0" w:noHBand="0" w:noVBand="1"/>
      </w:tblPr>
      <w:tblGrid>
        <w:gridCol w:w="2156"/>
        <w:gridCol w:w="787"/>
        <w:gridCol w:w="824"/>
        <w:gridCol w:w="665"/>
        <w:gridCol w:w="726"/>
      </w:tblGrid>
      <w:tr w:rsidR="001E014E" w:rsidRPr="001E014E" w14:paraId="68B4BC40" w14:textId="77777777" w:rsidTr="001E014E">
        <w:trPr>
          <w:trHeight w:val="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855FA"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7322F"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North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9D1129"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South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834CD"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East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E6D53"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West</w:t>
            </w:r>
          </w:p>
        </w:tc>
      </w:tr>
      <w:tr w:rsidR="001E014E" w:rsidRPr="001E014E" w14:paraId="22F98333" w14:textId="77777777" w:rsidTr="001E014E">
        <w:trPr>
          <w:trHeight w:val="8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6DECE"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Tile b, high battery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E72D5"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821BC"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2E04C"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A38386"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r>
      <w:tr w:rsidR="001E014E" w:rsidRPr="001E014E" w14:paraId="4542DD72" w14:textId="77777777" w:rsidTr="001E014E">
        <w:trPr>
          <w:trHeight w:val="8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AF4FF"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Tile e, low battery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5C0B0"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E08E9"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8BED8"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E2309" w14:textId="77777777" w:rsidR="001E014E" w:rsidRPr="001E014E" w:rsidRDefault="001E014E" w:rsidP="001E014E">
            <w:pPr>
              <w:spacing w:before="240" w:after="0" w:line="240" w:lineRule="auto"/>
              <w:rPr>
                <w:rFonts w:ascii="Times New Roman" w:eastAsia="Times New Roman" w:hAnsi="Times New Roman" w:cs="Times New Roman"/>
                <w:sz w:val="24"/>
                <w:szCs w:val="24"/>
              </w:rPr>
            </w:pPr>
            <w:r w:rsidRPr="001E014E">
              <w:rPr>
                <w:rFonts w:ascii="Arial" w:eastAsia="Times New Roman" w:hAnsi="Arial" w:cs="Arial"/>
                <w:b/>
                <w:bCs/>
                <w:color w:val="000000"/>
              </w:rPr>
              <w:t> </w:t>
            </w:r>
          </w:p>
        </w:tc>
      </w:tr>
    </w:tbl>
    <w:p w14:paraId="2958A9A3" w14:textId="6B17E4D2" w:rsidR="00356BE0" w:rsidRPr="00B26B60" w:rsidRDefault="00356BE0" w:rsidP="00B26B60">
      <w:pPr>
        <w:pStyle w:val="Lijstalinea"/>
        <w:numPr>
          <w:ilvl w:val="0"/>
          <w:numId w:val="1"/>
        </w:numPr>
        <w:rPr>
          <w:color w:val="000000"/>
        </w:rPr>
      </w:pPr>
    </w:p>
    <w:p w14:paraId="0F37A108" w14:textId="77777777" w:rsidR="00B26B60" w:rsidRPr="00B26B60" w:rsidRDefault="00B26B60" w:rsidP="00B26B60"/>
    <w:sectPr w:rsidR="00B26B60" w:rsidRPr="00B26B60" w:rsidSect="00E270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B60490"/>
    <w:multiLevelType w:val="multilevel"/>
    <w:tmpl w:val="82266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A53DC0"/>
    <w:multiLevelType w:val="hybridMultilevel"/>
    <w:tmpl w:val="FD6CA3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xNTcyNjYxtDAyMzZW0lEKTi0uzszPAykwqgUAdgAdPiwAAAA="/>
  </w:docVars>
  <w:rsids>
    <w:rsidRoot w:val="00B26B60"/>
    <w:rsid w:val="001E014E"/>
    <w:rsid w:val="00356BE0"/>
    <w:rsid w:val="00466C51"/>
    <w:rsid w:val="005B3F18"/>
    <w:rsid w:val="00B26B60"/>
    <w:rsid w:val="00E27067"/>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FB1D4"/>
  <w15:chartTrackingRefBased/>
  <w15:docId w15:val="{FFE21A1F-C2AC-459F-B94B-AAF6860B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4">
    <w:name w:val="heading 4"/>
    <w:basedOn w:val="Standaard"/>
    <w:link w:val="Kop4Char"/>
    <w:uiPriority w:val="9"/>
    <w:qFormat/>
    <w:rsid w:val="00B26B6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B26B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26B60"/>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B26B60"/>
    <w:pPr>
      <w:ind w:left="720"/>
      <w:contextualSpacing/>
    </w:pPr>
  </w:style>
  <w:style w:type="character" w:customStyle="1" w:styleId="Kop4Char">
    <w:name w:val="Kop 4 Char"/>
    <w:basedOn w:val="Standaardalinea-lettertype"/>
    <w:link w:val="Kop4"/>
    <w:uiPriority w:val="9"/>
    <w:rsid w:val="00B26B60"/>
    <w:rPr>
      <w:rFonts w:ascii="Times New Roman" w:eastAsia="Times New Roman" w:hAnsi="Times New Roman" w:cs="Times New Roman"/>
      <w:b/>
      <w:bCs/>
      <w:sz w:val="24"/>
      <w:szCs w:val="24"/>
    </w:rPr>
  </w:style>
  <w:style w:type="paragraph" w:styleId="Normaalweb">
    <w:name w:val="Normal (Web)"/>
    <w:basedOn w:val="Standaard"/>
    <w:uiPriority w:val="99"/>
    <w:semiHidden/>
    <w:unhideWhenUsed/>
    <w:rsid w:val="00B26B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917548">
      <w:bodyDiv w:val="1"/>
      <w:marLeft w:val="0"/>
      <w:marRight w:val="0"/>
      <w:marTop w:val="0"/>
      <w:marBottom w:val="0"/>
      <w:divBdr>
        <w:top w:val="none" w:sz="0" w:space="0" w:color="auto"/>
        <w:left w:val="none" w:sz="0" w:space="0" w:color="auto"/>
        <w:bottom w:val="none" w:sz="0" w:space="0" w:color="auto"/>
        <w:right w:val="none" w:sz="0" w:space="0" w:color="auto"/>
      </w:divBdr>
    </w:div>
    <w:div w:id="148727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381</Words>
  <Characters>2178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Branco Francois</dc:creator>
  <cp:keywords/>
  <dc:description/>
  <cp:lastModifiedBy>Branco Francois</cp:lastModifiedBy>
  <cp:revision>3</cp:revision>
  <dcterms:created xsi:type="dcterms:W3CDTF">2021-01-18T15:27:00Z</dcterms:created>
  <dcterms:modified xsi:type="dcterms:W3CDTF">2021-01-19T09:54:00Z</dcterms:modified>
</cp:coreProperties>
</file>