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220"/>
      </w:tblGrid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inductie</w:t>
            </w:r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van concrete observaties naar algemene wetten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deductie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van algemene wetten naar concrete verwachtingen en observaties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hypothese  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een algemene theorie, omzetten in praktijkgerichte theorie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empirie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 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geesteswetenschap</w:t>
            </w:r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meer aandacht voor het unieke, interpretatie 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positieve 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wetenchap</w:t>
            </w:r>
            <w:proofErr w:type="spellEnd"/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op zoek naar die wetmatigheden </w:t>
            </w:r>
          </w:p>
        </w:tc>
      </w:tr>
      <w:tr w:rsidR="00417858" w:rsidRPr="00417858" w:rsidTr="0041785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sociobiologie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strekkingen die vooral wetmatigheden zoals in de natuur benadrukken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trial-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and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-error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interventies sturen om greep te krijgen op verschijnsel kan niet zonder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theorethische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kennis. = blind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falsificatie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(zoeken naar) hypothesen die tegendeel bewijzen en zo je theorie weerleggen</w:t>
            </w:r>
          </w:p>
        </w:tc>
      </w:tr>
      <w:tr w:rsidR="00417858" w:rsidRPr="00417858" w:rsidTr="00417858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grand' theorie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zeer abstracte theorieën die ver afstaan van de empirie en niet eenvoudig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empirisch getoetst kunnen worden. Vb. systeemtheorie Parsons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middle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range' theorie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minder abstracte theorie die makkelijker getoetst kan worden. 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substantiele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theorie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inhoudelijke theorieën, gaat over specifieke domeinen. Vb. jeugdcriminaliteit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formele theorie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vormelijke theorieën, abstracter en toepasbaar in vele domeinen. 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Vb. winst maximaliseren</w:t>
            </w:r>
          </w:p>
        </w:tc>
      </w:tr>
      <w:tr w:rsidR="00417858" w:rsidRPr="00417858" w:rsidTr="00417858">
        <w:trPr>
          <w:trHeight w:val="465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grounded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theory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'</w:t>
            </w:r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[in projecten wordt soms maar gedeelte van de cyclus overlopen.]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= overwegend inductie (observeren, veralgemenen)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hypothetisch deductief</w:t>
            </w:r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overwegend deductie (toetsing en evaluatie)</w:t>
            </w:r>
          </w:p>
        </w:tc>
      </w:tr>
      <w:tr w:rsidR="00417858" w:rsidRPr="00417858" w:rsidTr="00417858">
        <w:trPr>
          <w:trHeight w:val="795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analytische inductie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kleine cycli meermaals doorlopen. Theorievorming als voortdurend proces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 xml:space="preserve">van interactie tussen onderzoeker en diens data. 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Dus ook deductie maar toetsing niet via statistische tests.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deterinistische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wetmatigheden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als A dan altijd B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probalistische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wetmatigheden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als A dan kans op B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speculatieve theorieën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vinden hun oorsprong in fantasie van wetenschappers, hoe zij denken dat 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de werkelijkheid in elkaar zit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closed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awareness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[besef van naderende dood bij stervenden] Personeel weet het,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patient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niet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suspicion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awareness</w:t>
            </w:r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patient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heeft vermoeden en zoekt naar info &gt; heel erg belastend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mutual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pretence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beide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partijenn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weten het maar doen alsof 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theoretische verzadiging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falsificatieprincipe uitschakelen en uitzonderingen kennen, zorgen dat je theorie op 'iedereen' toegepast kan worden.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open awareness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beide partijen zijn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opelijk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op de hoogte</w:t>
            </w:r>
          </w:p>
        </w:tc>
      </w:tr>
      <w:tr w:rsidR="00417858" w:rsidRPr="00417858" w:rsidTr="00417858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data 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mining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[inductief theorie vormen kan ook via kwantitatieve analyse]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 xml:space="preserve">= zoeken naar verbanden en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sturcturen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in grote datasets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mbv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krachtige pc's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en gevonden samenhangen proberen te verklaren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relevantie</w:t>
            </w:r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betekenis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projectvoorstel</w:t>
            </w:r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een eerste verkenning van de diverse aspecten die deel uitmaken van OP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displacement 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theory</w:t>
            </w:r>
            <w:proofErr w:type="spellEnd"/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de tijd dat men videospellen speelt, is men niet aan het sporten, leren, vandaar</w:t>
            </w:r>
          </w:p>
        </w:tc>
      </w:tr>
      <w:tr w:rsidR="00417858" w:rsidRPr="00417858" w:rsidTr="00417858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general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aggression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model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agressie is een persoonskenmerk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korte termijn: situatie + persoonskenmerk = interne toestand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>lange termijn: desensibilisatie en bevestiging van agressie in persoon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beschrijvende kennis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probeert kennisobject (gebeurtenis,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toestan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, proces) te beschrijven 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verklarende kennis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het doel is om een bepaalde gebeurtenis te verklaren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causale verklaring</w:t>
            </w:r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als het doel bij verklarende kennis is om de oorzaken op te sporen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evaluatieve kennis 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tracht een gebeuren te evalueren.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  <w:t xml:space="preserve"> Zo kan men beleidsproject evalueren op zijn doelmatigheid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voorspellende kennis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beoogt voorspellingen te doen over toekomst (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vb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prognose groei bevolking)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prescriptieve kennis</w:t>
            </w:r>
          </w:p>
        </w:tc>
        <w:tc>
          <w:tcPr>
            <w:tcW w:w="6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gericht op beleidsaanbevelingen. </w:t>
            </w: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br/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Vb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kennis verzamelen om werkloosheid te minderen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hypothesetoetsend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onderzoek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toetsen van hypothesen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explorerend onderzoek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verbanden en verklaringen vinden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logboek</w:t>
            </w:r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bijhouden activiteiten en vooral beslissingen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lastRenderedPageBreak/>
              <w:t>archief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projectvoorstel, OP, verzamelde gegevens,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codeboek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, basispublicaties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informed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consent 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als mogelijk mensen informeren over je onderzoek</w:t>
            </w:r>
          </w:p>
        </w:tc>
      </w:tr>
      <w:tr w:rsidR="00417858" w:rsidRPr="00417858" w:rsidTr="0041785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reactiviteit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tenzij je het beter anoniem houdt omdat ze hun anders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anders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zoude gedragen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CATI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computer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assisted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telephone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intervieuwing</w:t>
            </w:r>
            <w:proofErr w:type="spellEnd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 / telefonische enquête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random digit dialing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toevallige telefonische selectie van gezinnen inclusief privé-nummers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responserate</w:t>
            </w:r>
            <w:proofErr w:type="spellEnd"/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het aantal procent van de mensen die je contacteerden, die meewerken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onderzoekseenheden</w:t>
            </w:r>
          </w:p>
        </w:tc>
        <w:tc>
          <w:tcPr>
            <w:tcW w:w="6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verzameling eenheden die ons met het oog op onderzoeksvraag, interesseert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onderzoekspopulatie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populatie waarover het onderzoek iets wil zeggen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aggregaat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mensen die toevallig op zelfde plaats zijn maar zichtzelf niet als groep zien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jabsatifactie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jobtevredenheid</w:t>
            </w:r>
            <w:proofErr w:type="spellEnd"/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cross-</w:t>
            </w:r>
            <w:proofErr w:type="spellStart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sectioneel</w:t>
            </w:r>
            <w:proofErr w:type="spellEnd"/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 xml:space="preserve"> onderzoek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de mensen één keer ondervragen. Over nu of over het verleden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longitudinaal onderzoek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mensen meermaals ondervragen, dagboek laten bijhouden,…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survival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overleven, hoe lang hou je het vol om event niet mee te maken</w:t>
            </w:r>
          </w:p>
        </w:tc>
      </w:tr>
      <w:tr w:rsidR="00417858" w:rsidRPr="00417858" w:rsidTr="00417858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ecologische fout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2Lg" w:eastAsia="Times New Roman" w:hAnsi="ADMUI2Lg" w:cs="Arial"/>
                <w:lang w:eastAsia="nl-BE"/>
              </w:rPr>
            </w:pPr>
            <w:r w:rsidRPr="00417858">
              <w:rPr>
                <w:rFonts w:ascii="ADMUI2Lg" w:eastAsia="Times New Roman" w:hAnsi="ADMUI2Lg" w:cs="Arial"/>
                <w:lang w:val="nl-NL" w:eastAsia="nl-BE"/>
              </w:rPr>
              <w:t>Ten onrechte conclusies trekken over relaties tussen kenmerken van</w:t>
            </w:r>
            <w:r w:rsidRPr="00417858">
              <w:rPr>
                <w:rFonts w:ascii="ADMUI2Lg" w:eastAsia="Times New Roman" w:hAnsi="ADMUI2Lg" w:cs="Arial"/>
                <w:lang w:val="nl-NL" w:eastAsia="nl-BE"/>
              </w:rPr>
              <w:br/>
              <w:t xml:space="preserve"> eenheden op lager niveau op grond van informatie over relaties tussen </w:t>
            </w:r>
            <w:r w:rsidRPr="00417858">
              <w:rPr>
                <w:rFonts w:ascii="ADMUI2Lg" w:eastAsia="Times New Roman" w:hAnsi="ADMUI2Lg" w:cs="Arial"/>
                <w:lang w:val="nl-NL" w:eastAsia="nl-BE"/>
              </w:rPr>
              <w:br/>
              <w:t xml:space="preserve">kenmerken van eenheden op hoger (geaggregeerde) niveau </w:t>
            </w:r>
          </w:p>
        </w:tc>
      </w:tr>
      <w:tr w:rsidR="00417858" w:rsidRPr="00417858" w:rsidTr="00417858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individualiseringsfout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2Lg" w:eastAsia="Times New Roman" w:hAnsi="ADMUI2Lg" w:cs="Arial"/>
                <w:lang w:eastAsia="nl-BE"/>
              </w:rPr>
            </w:pPr>
            <w:r w:rsidRPr="00417858">
              <w:rPr>
                <w:rFonts w:ascii="ADMUI2Lg" w:eastAsia="Times New Roman" w:hAnsi="ADMUI2Lg" w:cs="Arial"/>
                <w:lang w:eastAsia="nl-BE"/>
              </w:rPr>
              <w:t>Negeren van groepsinteracties of kenmerken op het groepsniveau bij</w:t>
            </w:r>
            <w:r w:rsidRPr="00417858">
              <w:rPr>
                <w:rFonts w:ascii="ADMUI2Lg" w:eastAsia="Times New Roman" w:hAnsi="ADMUI2Lg" w:cs="Arial"/>
                <w:lang w:eastAsia="nl-BE"/>
              </w:rPr>
              <w:br/>
              <w:t xml:space="preserve"> bestuderen van menselijk gedrag, louter op basis van individuele data </w:t>
            </w:r>
            <w:r w:rsidRPr="00417858">
              <w:rPr>
                <w:rFonts w:ascii="ADMUI2Lg" w:eastAsia="Times New Roman" w:hAnsi="ADMUI2Lg" w:cs="Arial"/>
                <w:lang w:eastAsia="nl-BE"/>
              </w:rPr>
              <w:br/>
              <w:t xml:space="preserve">besluiten trekken 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indicatoren</w:t>
            </w:r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 xml:space="preserve">representeren een concept. Vb. IQ voor </w:t>
            </w:r>
            <w:proofErr w:type="spellStart"/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intellegentie</w:t>
            </w:r>
            <w:proofErr w:type="spellEnd"/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zelffocus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uitspraken over zichzelf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sociale visie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persoonlijke visie op normen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manifeste variabele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variabele die rechtstreeks gemeten wordt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latente variabele</w:t>
            </w:r>
          </w:p>
        </w:tc>
        <w:tc>
          <w:tcPr>
            <w:tcW w:w="62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variabele die via een techniek wordt afgeleid van aantal manifeste variabelen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elaboratie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kruistabellen om schijnverbanden uit te schakelen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dichotomie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transitietabel met maar 2 categorieën, geen overlappende categorieën</w:t>
            </w:r>
          </w:p>
        </w:tc>
      </w:tr>
      <w:tr w:rsidR="00417858" w:rsidRPr="00417858" w:rsidTr="00417858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b/>
                <w:bCs/>
                <w:sz w:val="20"/>
                <w:szCs w:val="20"/>
                <w:lang w:eastAsia="nl-BE"/>
              </w:rPr>
              <w:t>triangulatie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17858" w:rsidRPr="00417858" w:rsidRDefault="00417858" w:rsidP="00417858">
            <w:pPr>
              <w:spacing w:line="240" w:lineRule="auto"/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</w:pPr>
            <w:r w:rsidRPr="00417858">
              <w:rPr>
                <w:rFonts w:ascii="ADMUI3Lg" w:eastAsia="Times New Roman" w:hAnsi="ADMUI3Lg" w:cs="Arial"/>
                <w:sz w:val="20"/>
                <w:szCs w:val="20"/>
                <w:lang w:eastAsia="nl-BE"/>
              </w:rPr>
              <w:t>met verschillende onderzoekers in een veld, om geldigheid te beoordelen</w:t>
            </w:r>
          </w:p>
        </w:tc>
      </w:tr>
    </w:tbl>
    <w:p w:rsidR="00523733" w:rsidRPr="00417858" w:rsidRDefault="00523733" w:rsidP="00417858">
      <w:bookmarkStart w:id="0" w:name="_GoBack"/>
      <w:bookmarkEnd w:id="0"/>
    </w:p>
    <w:sectPr w:rsidR="00523733" w:rsidRPr="0041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MUI3L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MUI2L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A6D"/>
    <w:multiLevelType w:val="hybridMultilevel"/>
    <w:tmpl w:val="1B7CC5CE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B11"/>
    <w:multiLevelType w:val="hybridMultilevel"/>
    <w:tmpl w:val="45B80E52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A6E64"/>
    <w:multiLevelType w:val="hybridMultilevel"/>
    <w:tmpl w:val="603E89AC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1830"/>
    <w:multiLevelType w:val="hybridMultilevel"/>
    <w:tmpl w:val="3A1A8B4A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0FB"/>
    <w:multiLevelType w:val="hybridMultilevel"/>
    <w:tmpl w:val="E3E20B2C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70D2"/>
    <w:multiLevelType w:val="hybridMultilevel"/>
    <w:tmpl w:val="DCC65A4A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6749B"/>
    <w:multiLevelType w:val="hybridMultilevel"/>
    <w:tmpl w:val="DACC761C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A74CC"/>
    <w:multiLevelType w:val="hybridMultilevel"/>
    <w:tmpl w:val="A26231D8"/>
    <w:lvl w:ilvl="0" w:tplc="AA7CF7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C"/>
    <w:rsid w:val="0034190C"/>
    <w:rsid w:val="00417858"/>
    <w:rsid w:val="00523733"/>
    <w:rsid w:val="00600E80"/>
    <w:rsid w:val="006B14F9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90C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34190C"/>
    <w:pPr>
      <w:keepNext/>
      <w:keepLines/>
      <w:spacing w:after="120"/>
      <w:outlineLvl w:val="0"/>
    </w:pPr>
    <w:rPr>
      <w:rFonts w:ascii="Bookman Old Style" w:eastAsiaTheme="majorEastAsia" w:hAnsi="Bookman Old Style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1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190C"/>
    <w:pPr>
      <w:keepNext/>
      <w:keepLines/>
      <w:outlineLvl w:val="2"/>
    </w:pPr>
    <w:rPr>
      <w:rFonts w:ascii="Bookman Old Style" w:eastAsiaTheme="majorEastAsia" w:hAnsi="Bookman Old Style" w:cstheme="majorBidi"/>
      <w:bCs/>
      <w:i/>
      <w:color w:val="4F81BD" w:themeColor="accent1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190C"/>
    <w:rPr>
      <w:rFonts w:ascii="Bookman Old Style" w:eastAsiaTheme="majorEastAsia" w:hAnsi="Bookman Old Style" w:cstheme="majorBidi"/>
      <w:b/>
      <w:bCs/>
      <w:color w:val="365F91" w:themeColor="accent1" w:themeShade="BF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4190C"/>
    <w:rPr>
      <w:rFonts w:ascii="Bookman Old Style" w:eastAsiaTheme="majorEastAsia" w:hAnsi="Bookman Old Style" w:cstheme="majorBidi"/>
      <w:bCs/>
      <w:i/>
      <w:color w:val="4F81BD" w:themeColor="accent1"/>
      <w:sz w:val="26"/>
    </w:rPr>
  </w:style>
  <w:style w:type="paragraph" w:styleId="Lijstalinea">
    <w:name w:val="List Paragraph"/>
    <w:basedOn w:val="Standaard"/>
    <w:uiPriority w:val="34"/>
    <w:qFormat/>
    <w:rsid w:val="0034190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341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90C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34190C"/>
    <w:pPr>
      <w:keepNext/>
      <w:keepLines/>
      <w:spacing w:after="120"/>
      <w:outlineLvl w:val="0"/>
    </w:pPr>
    <w:rPr>
      <w:rFonts w:ascii="Bookman Old Style" w:eastAsiaTheme="majorEastAsia" w:hAnsi="Bookman Old Style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1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190C"/>
    <w:pPr>
      <w:keepNext/>
      <w:keepLines/>
      <w:outlineLvl w:val="2"/>
    </w:pPr>
    <w:rPr>
      <w:rFonts w:ascii="Bookman Old Style" w:eastAsiaTheme="majorEastAsia" w:hAnsi="Bookman Old Style" w:cstheme="majorBidi"/>
      <w:bCs/>
      <w:i/>
      <w:color w:val="4F81BD" w:themeColor="accent1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190C"/>
    <w:rPr>
      <w:rFonts w:ascii="Bookman Old Style" w:eastAsiaTheme="majorEastAsia" w:hAnsi="Bookman Old Style" w:cstheme="majorBidi"/>
      <w:b/>
      <w:bCs/>
      <w:color w:val="365F91" w:themeColor="accent1" w:themeShade="BF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4190C"/>
    <w:rPr>
      <w:rFonts w:ascii="Bookman Old Style" w:eastAsiaTheme="majorEastAsia" w:hAnsi="Bookman Old Style" w:cstheme="majorBidi"/>
      <w:bCs/>
      <w:i/>
      <w:color w:val="4F81BD" w:themeColor="accent1"/>
      <w:sz w:val="26"/>
    </w:rPr>
  </w:style>
  <w:style w:type="paragraph" w:styleId="Lijstalinea">
    <w:name w:val="List Paragraph"/>
    <w:basedOn w:val="Standaard"/>
    <w:uiPriority w:val="34"/>
    <w:qFormat/>
    <w:rsid w:val="0034190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341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2012-01-22T17:52:00Z</dcterms:created>
  <dcterms:modified xsi:type="dcterms:W3CDTF">2012-01-23T17:26:00Z</dcterms:modified>
</cp:coreProperties>
</file>